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AA5F4">
      <w:pPr>
        <w:jc w:val="center"/>
        <w:rPr>
          <w:b/>
          <w:bCs/>
          <w:sz w:val="72"/>
          <w:szCs w:val="72"/>
        </w:rPr>
      </w:pPr>
    </w:p>
    <w:p w14:paraId="13B19BBB">
      <w:pPr>
        <w:jc w:val="center"/>
        <w:rPr>
          <w:b/>
          <w:bCs/>
          <w:sz w:val="72"/>
          <w:szCs w:val="72"/>
        </w:rPr>
      </w:pPr>
    </w:p>
    <w:p w14:paraId="03A00E3B">
      <w:pPr>
        <w:jc w:val="center"/>
        <w:rPr>
          <w:b/>
          <w:bCs/>
          <w:sz w:val="72"/>
          <w:szCs w:val="72"/>
        </w:rPr>
      </w:pPr>
    </w:p>
    <w:p w14:paraId="4C61B6DA">
      <w:pPr>
        <w:jc w:val="center"/>
        <w:rPr>
          <w:b/>
          <w:bCs/>
          <w:sz w:val="52"/>
          <w:szCs w:val="44"/>
        </w:rPr>
      </w:pPr>
      <w:r>
        <w:rPr>
          <w:b/>
          <w:bCs/>
          <w:sz w:val="52"/>
          <w:szCs w:val="44"/>
        </w:rPr>
        <w:t>国联水产集团202</w:t>
      </w:r>
      <w:r>
        <w:rPr>
          <w:rFonts w:hint="eastAsia"/>
          <w:b/>
          <w:bCs/>
          <w:sz w:val="52"/>
          <w:szCs w:val="44"/>
          <w:lang w:val="en-US" w:eastAsia="zh-CN"/>
        </w:rPr>
        <w:t>5</w:t>
      </w:r>
      <w:r>
        <w:rPr>
          <w:b/>
          <w:bCs/>
          <w:sz w:val="52"/>
          <w:szCs w:val="44"/>
        </w:rPr>
        <w:t>-202</w:t>
      </w:r>
      <w:r>
        <w:rPr>
          <w:rFonts w:hint="eastAsia"/>
          <w:b/>
          <w:bCs/>
          <w:sz w:val="52"/>
          <w:szCs w:val="44"/>
          <w:lang w:val="en-US" w:eastAsia="zh-CN"/>
        </w:rPr>
        <w:t>6</w:t>
      </w:r>
      <w:r>
        <w:rPr>
          <w:b/>
          <w:bCs/>
          <w:sz w:val="52"/>
          <w:szCs w:val="44"/>
        </w:rPr>
        <w:t>年度国内水产品</w:t>
      </w:r>
    </w:p>
    <w:p w14:paraId="30387EE4">
      <w:pPr>
        <w:jc w:val="center"/>
        <w:rPr>
          <w:b/>
          <w:bCs/>
          <w:sz w:val="52"/>
          <w:szCs w:val="44"/>
        </w:rPr>
      </w:pPr>
      <w:r>
        <w:rPr>
          <w:b/>
          <w:bCs/>
          <w:sz w:val="52"/>
          <w:szCs w:val="44"/>
        </w:rPr>
        <w:t>干线</w:t>
      </w:r>
      <w:r>
        <w:rPr>
          <w:rFonts w:hint="eastAsia"/>
          <w:b/>
          <w:bCs/>
          <w:sz w:val="52"/>
          <w:szCs w:val="44"/>
          <w:lang w:val="en-US" w:eastAsia="zh-CN"/>
        </w:rPr>
        <w:t>整车运输</w:t>
      </w:r>
      <w:r>
        <w:rPr>
          <w:b/>
          <w:bCs/>
          <w:sz w:val="52"/>
          <w:szCs w:val="44"/>
        </w:rPr>
        <w:t>项目招标资格预审文件</w:t>
      </w:r>
    </w:p>
    <w:p w14:paraId="456431BC">
      <w:pPr>
        <w:rPr>
          <w:sz w:val="52"/>
          <w:szCs w:val="52"/>
        </w:rPr>
      </w:pPr>
    </w:p>
    <w:p w14:paraId="1A13969B">
      <w:pPr>
        <w:rPr>
          <w:sz w:val="52"/>
          <w:szCs w:val="52"/>
        </w:rPr>
      </w:pPr>
    </w:p>
    <w:p w14:paraId="5154DC74">
      <w:pPr>
        <w:jc w:val="center"/>
        <w:rPr>
          <w:sz w:val="52"/>
          <w:szCs w:val="52"/>
        </w:rPr>
      </w:pPr>
    </w:p>
    <w:p w14:paraId="0B189FA1">
      <w:pPr>
        <w:jc w:val="center"/>
        <w:rPr>
          <w:sz w:val="52"/>
          <w:szCs w:val="52"/>
        </w:rPr>
      </w:pPr>
    </w:p>
    <w:p w14:paraId="4ABC50E7">
      <w:pPr>
        <w:ind w:firstLine="2127" w:firstLineChars="709"/>
        <w:rPr>
          <w:sz w:val="30"/>
          <w:szCs w:val="30"/>
        </w:rPr>
      </w:pPr>
      <w:r>
        <w:rPr>
          <w:sz w:val="30"/>
          <w:szCs w:val="30"/>
        </w:rPr>
        <w:t>招标人：湛江国联水产开发股份有限公司</w:t>
      </w:r>
    </w:p>
    <w:p w14:paraId="565F848F">
      <w:pPr>
        <w:ind w:firstLine="2127" w:firstLineChars="709"/>
        <w:rPr>
          <w:rFonts w:hint="eastAsia" w:eastAsia="宋体"/>
          <w:color w:val="FF0000"/>
          <w:sz w:val="30"/>
          <w:szCs w:val="30"/>
          <w:lang w:eastAsia="zh-CN"/>
        </w:rPr>
      </w:pPr>
      <w:r>
        <w:rPr>
          <w:sz w:val="30"/>
          <w:szCs w:val="30"/>
        </w:rPr>
        <w:t>日  期：二零二</w:t>
      </w:r>
      <w:r>
        <w:rPr>
          <w:rFonts w:hint="eastAsia"/>
          <w:sz w:val="30"/>
          <w:szCs w:val="30"/>
          <w:lang w:val="en-US" w:eastAsia="zh-CN"/>
        </w:rPr>
        <w:t>五</w:t>
      </w:r>
      <w:r>
        <w:rPr>
          <w:sz w:val="30"/>
          <w:szCs w:val="30"/>
        </w:rPr>
        <w:t>年</w:t>
      </w:r>
      <w:r>
        <w:rPr>
          <w:rFonts w:hint="eastAsia"/>
          <w:color w:val="000000" w:themeColor="text1"/>
          <w:sz w:val="30"/>
          <w:szCs w:val="30"/>
          <w:lang w:val="en-US" w:eastAsia="zh-CN"/>
          <w14:textFill>
            <w14:solidFill>
              <w14:schemeClr w14:val="tx1"/>
            </w14:solidFill>
          </w14:textFill>
        </w:rPr>
        <w:t>八月二十六日</w:t>
      </w:r>
    </w:p>
    <w:p w14:paraId="047F5DA9">
      <w:pPr>
        <w:rPr>
          <w:sz w:val="32"/>
          <w:szCs w:val="32"/>
        </w:rPr>
      </w:pPr>
    </w:p>
    <w:p w14:paraId="67F94097">
      <w:pPr>
        <w:ind w:firstLine="1920" w:firstLineChars="600"/>
        <w:jc w:val="left"/>
        <w:rPr>
          <w:sz w:val="32"/>
          <w:szCs w:val="32"/>
        </w:rPr>
      </w:pPr>
      <w:r>
        <w:rPr>
          <w:sz w:val="32"/>
          <w:szCs w:val="32"/>
        </w:rPr>
        <w:t>招标项目编号：</w:t>
      </w:r>
      <w:r>
        <w:rPr>
          <w:rFonts w:hint="eastAsia"/>
          <w:sz w:val="32"/>
          <w:szCs w:val="32"/>
        </w:rPr>
        <w:t>GLSC-L-202</w:t>
      </w:r>
      <w:r>
        <w:rPr>
          <w:rFonts w:hint="eastAsia"/>
          <w:sz w:val="32"/>
          <w:szCs w:val="32"/>
          <w:lang w:val="en-US" w:eastAsia="zh-CN"/>
        </w:rPr>
        <w:t>5</w:t>
      </w:r>
      <w:r>
        <w:rPr>
          <w:rFonts w:hint="eastAsia"/>
          <w:sz w:val="32"/>
          <w:szCs w:val="32"/>
        </w:rPr>
        <w:t>0</w:t>
      </w:r>
      <w:r>
        <w:rPr>
          <w:rFonts w:hint="eastAsia"/>
          <w:sz w:val="32"/>
          <w:szCs w:val="32"/>
          <w:lang w:val="en-US" w:eastAsia="zh-CN"/>
        </w:rPr>
        <w:t>8</w:t>
      </w:r>
      <w:r>
        <w:rPr>
          <w:rFonts w:hint="eastAsia"/>
          <w:sz w:val="32"/>
          <w:szCs w:val="32"/>
        </w:rPr>
        <w:t>01</w:t>
      </w:r>
    </w:p>
    <w:p w14:paraId="497B1DD8">
      <w:pPr>
        <w:rPr>
          <w:sz w:val="32"/>
          <w:szCs w:val="32"/>
        </w:rPr>
      </w:pPr>
    </w:p>
    <w:p w14:paraId="0DC19197">
      <w:pPr>
        <w:ind w:firstLine="643" w:firstLineChars="200"/>
        <w:jc w:val="left"/>
        <w:rPr>
          <w:sz w:val="30"/>
          <w:szCs w:val="30"/>
        </w:rPr>
      </w:pPr>
      <w:r>
        <w:rPr>
          <w:b/>
          <w:sz w:val="32"/>
          <w:szCs w:val="32"/>
        </w:rPr>
        <w:br w:type="page"/>
      </w:r>
      <w:r>
        <w:rPr>
          <w:rFonts w:hint="eastAsia"/>
          <w:b w:val="0"/>
          <w:bCs/>
          <w:sz w:val="30"/>
          <w:szCs w:val="30"/>
        </w:rPr>
        <w:t>湛江国联水产开发股份有限公司</w:t>
      </w:r>
      <w:r>
        <w:rPr>
          <w:rFonts w:hint="eastAsia"/>
          <w:b w:val="0"/>
          <w:bCs/>
          <w:sz w:val="30"/>
          <w:szCs w:val="30"/>
          <w:lang w:val="en-US" w:eastAsia="zh-CN"/>
        </w:rPr>
        <w:t>现对</w:t>
      </w:r>
      <w:r>
        <w:rPr>
          <w:sz w:val="30"/>
          <w:szCs w:val="30"/>
        </w:rPr>
        <w:t>国联水产</w:t>
      </w:r>
      <w:r>
        <w:rPr>
          <w:rFonts w:hint="eastAsia"/>
          <w:sz w:val="30"/>
          <w:szCs w:val="30"/>
          <w:lang w:val="en-US" w:eastAsia="zh-CN"/>
        </w:rPr>
        <w:t>集团</w:t>
      </w:r>
      <w:r>
        <w:rPr>
          <w:sz w:val="30"/>
          <w:szCs w:val="30"/>
        </w:rPr>
        <w:t>202</w:t>
      </w:r>
      <w:r>
        <w:rPr>
          <w:rFonts w:hint="eastAsia"/>
          <w:sz w:val="30"/>
          <w:szCs w:val="30"/>
          <w:lang w:val="en-US" w:eastAsia="zh-CN"/>
        </w:rPr>
        <w:t>5-2026</w:t>
      </w:r>
      <w:r>
        <w:rPr>
          <w:sz w:val="30"/>
          <w:szCs w:val="30"/>
        </w:rPr>
        <w:t>年度</w:t>
      </w:r>
      <w:r>
        <w:rPr>
          <w:rFonts w:hint="eastAsia"/>
          <w:sz w:val="30"/>
          <w:szCs w:val="30"/>
        </w:rPr>
        <w:t>国内水产品干线整车运输项目</w:t>
      </w:r>
      <w:r>
        <w:rPr>
          <w:sz w:val="30"/>
          <w:szCs w:val="30"/>
        </w:rPr>
        <w:t>（简称“项目”）</w:t>
      </w:r>
      <w:r>
        <w:rPr>
          <w:rFonts w:hint="eastAsia"/>
          <w:sz w:val="30"/>
          <w:szCs w:val="30"/>
          <w:lang w:val="en-US" w:eastAsia="zh-CN"/>
        </w:rPr>
        <w:t>进行公开招标</w:t>
      </w:r>
      <w:r>
        <w:rPr>
          <w:sz w:val="30"/>
          <w:szCs w:val="30"/>
        </w:rPr>
        <w:t>，项目资金来自企业自筹，特邀请有意向的潜在投标人（以下简称“申请人”）提出资格预审申请。</w:t>
      </w:r>
    </w:p>
    <w:p w14:paraId="2743ACD7">
      <w:pPr>
        <w:pStyle w:val="2"/>
      </w:pPr>
      <w:r>
        <w:t>一、招标说明</w:t>
      </w:r>
    </w:p>
    <w:p w14:paraId="157A91EE">
      <w:pPr>
        <w:pStyle w:val="3"/>
      </w:pPr>
      <w:r>
        <w:t>1.1招标人</w:t>
      </w:r>
    </w:p>
    <w:p w14:paraId="24DB674D">
      <w:pPr>
        <w:ind w:firstLine="560" w:firstLineChars="200"/>
        <w:rPr>
          <w:bCs/>
          <w:sz w:val="28"/>
          <w:szCs w:val="28"/>
        </w:rPr>
      </w:pPr>
      <w:r>
        <w:rPr>
          <w:bCs/>
          <w:sz w:val="28"/>
          <w:szCs w:val="28"/>
        </w:rPr>
        <w:t>湛江国联水产开发股份有限公司，本次结果同样适用于</w:t>
      </w:r>
      <w:r>
        <w:rPr>
          <w:sz w:val="28"/>
          <w:szCs w:val="28"/>
        </w:rPr>
        <w:t>湛江国联水产开发股份有限公司旗下的子公司运输项目，包括但不限于以下公司：</w:t>
      </w:r>
      <w:r>
        <w:rPr>
          <w:bCs/>
          <w:sz w:val="28"/>
          <w:szCs w:val="28"/>
        </w:rPr>
        <w:t>湛江国联水产开发有限公司、</w:t>
      </w:r>
      <w:r>
        <w:rPr>
          <w:sz w:val="28"/>
          <w:szCs w:val="28"/>
        </w:rPr>
        <w:t>广州国联水产电子商务有限公司、广东国美水产食品有限公司、国联（益阳）食品有限公司。</w:t>
      </w:r>
    </w:p>
    <w:p w14:paraId="39B52F16">
      <w:pPr>
        <w:pStyle w:val="3"/>
      </w:pPr>
      <w:r>
        <w:t>1.2招标人地址</w:t>
      </w:r>
    </w:p>
    <w:p w14:paraId="2D6F1F6F">
      <w:pPr>
        <w:spacing w:line="360" w:lineRule="auto"/>
        <w:ind w:firstLine="560" w:firstLineChars="200"/>
        <w:jc w:val="left"/>
        <w:rPr>
          <w:bCs/>
          <w:sz w:val="28"/>
          <w:szCs w:val="28"/>
        </w:rPr>
      </w:pPr>
      <w:r>
        <w:rPr>
          <w:bCs/>
          <w:sz w:val="28"/>
          <w:szCs w:val="28"/>
        </w:rPr>
        <w:t>广东省湛江吴川市黄坡镇（吴川）华昱产业转移工业园工业大道6号</w:t>
      </w:r>
    </w:p>
    <w:p w14:paraId="1EDB575E">
      <w:pPr>
        <w:pStyle w:val="3"/>
      </w:pPr>
      <w:r>
        <w:t>1.3招标公司简介</w:t>
      </w:r>
    </w:p>
    <w:p w14:paraId="68C62EB0">
      <w:pPr>
        <w:spacing w:line="360" w:lineRule="auto"/>
        <w:ind w:firstLine="560" w:firstLineChars="200"/>
        <w:jc w:val="left"/>
        <w:rPr>
          <w:bCs/>
          <w:sz w:val="28"/>
          <w:szCs w:val="28"/>
        </w:rPr>
      </w:pPr>
      <w:r>
        <w:rPr>
          <w:bCs/>
          <w:sz w:val="28"/>
          <w:szCs w:val="28"/>
        </w:rPr>
        <w:t>湛江国联水产开发股份有限公司创建于2001年，公司以“为人类提供健康海洋食品”为使命，专注于水产食品领域精深发展，以水产食品研制为龙头，现已发展成为一家全球化、全产业链和全渠道的跨国企业集团。2010年，公司在创业板挂牌上市。2022年公司年销售额51亿元。</w:t>
      </w:r>
    </w:p>
    <w:p w14:paraId="7B969B04">
      <w:pPr>
        <w:spacing w:line="360" w:lineRule="auto"/>
        <w:ind w:firstLine="560" w:firstLineChars="200"/>
        <w:jc w:val="left"/>
        <w:rPr>
          <w:bCs/>
          <w:sz w:val="28"/>
          <w:szCs w:val="28"/>
        </w:rPr>
      </w:pPr>
      <w:r>
        <w:rPr>
          <w:bCs/>
          <w:sz w:val="28"/>
          <w:szCs w:val="28"/>
        </w:rPr>
        <w:t>公司凭借高效整合供应链资源和引领产业技术创新，持续成长并建立行业壁垒。布局全球海产资源，不断拓宽产品品类，注重从“养殖水产品到餐桌”的质量安全管控体系建设，并升级自动化智能化加工技术、加大综合水产品类精深加工研发投入，实现水产品从厨房食材到预制菜品工业化量产的转变，将工厂打造为餐饮企业和家庭的“中央厨房”。公司目前已经形成风味鱼系列、小龙虾系列、裹粉系列、快煮系列、火锅系列、米面系列等六大系列预制菜，受到消费者广泛欢迎，2022年公司预制菜规模已达11亿元。顺应消费升级的趋势，深度布局国内餐饮、流通、商超、电商等市场，实现国内市场省域全覆盖，并逐渐下沉到县市级市场，公司旗下“龙霸”水产生料产品及“小霸龙”水产预制菜品深受用户和消费者喜爱。公司产品远销海内外，产品遍及全球40多个国家和地区。公司执行“全球买，全球卖”的经营策略，实现了市场国际化、采购国际化、品控国际化，注重国内国际市场“双循环”。</w:t>
      </w:r>
    </w:p>
    <w:p w14:paraId="7EB521B6">
      <w:pPr>
        <w:spacing w:line="360" w:lineRule="auto"/>
        <w:ind w:firstLine="560" w:firstLineChars="200"/>
        <w:jc w:val="left"/>
        <w:rPr>
          <w:bCs/>
          <w:sz w:val="28"/>
          <w:szCs w:val="28"/>
        </w:rPr>
      </w:pPr>
      <w:r>
        <w:rPr>
          <w:bCs/>
          <w:sz w:val="28"/>
          <w:szCs w:val="28"/>
        </w:rPr>
        <w:t>公司率先在水产行业推行“2211”电子化监管模式，并通过HACCP、BRC、BAP 等国际认证，公司实验室拥有CNAS认证；先后被认定为农业产业化国家重点龙头企业、高新技术企业、守合同重信用企业、国家级“AAA”劳动关系和谐企业、海关总署高级认证企业等。</w:t>
      </w:r>
    </w:p>
    <w:p w14:paraId="1ED75ED6">
      <w:pPr>
        <w:spacing w:line="360" w:lineRule="auto"/>
        <w:ind w:firstLine="560" w:firstLineChars="200"/>
        <w:rPr>
          <w:sz w:val="28"/>
          <w:szCs w:val="28"/>
        </w:rPr>
      </w:pPr>
      <w:r>
        <w:rPr>
          <w:sz w:val="28"/>
          <w:szCs w:val="28"/>
        </w:rPr>
        <w:t>公司发展愿景是:成为全球最具影响力的海洋食品企业。</w:t>
      </w:r>
    </w:p>
    <w:p w14:paraId="0E931483">
      <w:pPr>
        <w:adjustRightInd w:val="0"/>
        <w:snapToGrid w:val="0"/>
        <w:spacing w:line="360" w:lineRule="auto"/>
        <w:ind w:firstLine="560" w:firstLineChars="200"/>
        <w:jc w:val="left"/>
        <w:rPr>
          <w:sz w:val="28"/>
          <w:szCs w:val="28"/>
        </w:rPr>
      </w:pPr>
      <w:r>
        <w:rPr>
          <w:sz w:val="28"/>
          <w:szCs w:val="28"/>
        </w:rPr>
        <w:t>更多内容，详见：</w:t>
      </w:r>
      <w:r>
        <w:rPr>
          <w:sz w:val="28"/>
          <w:szCs w:val="28"/>
        </w:rPr>
        <w:fldChar w:fldCharType="begin"/>
      </w:r>
      <w:r>
        <w:rPr>
          <w:sz w:val="28"/>
          <w:szCs w:val="28"/>
        </w:rPr>
        <w:instrText xml:space="preserve"> HYPERLINK "https://www.guolian.cn" </w:instrText>
      </w:r>
      <w:r>
        <w:rPr>
          <w:sz w:val="28"/>
          <w:szCs w:val="28"/>
        </w:rPr>
        <w:fldChar w:fldCharType="separate"/>
      </w:r>
      <w:r>
        <w:rPr>
          <w:rStyle w:val="21"/>
          <w:sz w:val="28"/>
          <w:szCs w:val="28"/>
        </w:rPr>
        <w:t>https://www.guolian.cn</w:t>
      </w:r>
      <w:r>
        <w:rPr>
          <w:sz w:val="28"/>
          <w:szCs w:val="28"/>
        </w:rPr>
        <w:fldChar w:fldCharType="end"/>
      </w:r>
    </w:p>
    <w:p w14:paraId="50B9C392">
      <w:pPr>
        <w:pStyle w:val="3"/>
      </w:pPr>
      <w:r>
        <w:t>1.4招标项目概况</w:t>
      </w:r>
    </w:p>
    <w:p w14:paraId="3DCDFBF5">
      <w:pPr>
        <w:pStyle w:val="45"/>
        <w:ind w:firstLine="560" w:firstLineChars="200"/>
        <w:rPr>
          <w:b w:val="0"/>
          <w:bCs w:val="0"/>
          <w:color w:val="auto"/>
        </w:rPr>
      </w:pPr>
      <w:r>
        <w:rPr>
          <w:b w:val="0"/>
          <w:bCs w:val="0"/>
          <w:color w:val="auto"/>
        </w:rPr>
        <w:t>1.4.1干线招标线路及规模</w:t>
      </w:r>
    </w:p>
    <w:tbl>
      <w:tblPr>
        <w:tblStyle w:val="15"/>
        <w:tblW w:w="9209" w:type="dxa"/>
        <w:tblInd w:w="113" w:type="dxa"/>
        <w:tblLayout w:type="autofit"/>
        <w:tblCellMar>
          <w:top w:w="0" w:type="dxa"/>
          <w:left w:w="108" w:type="dxa"/>
          <w:bottom w:w="0" w:type="dxa"/>
          <w:right w:w="108" w:type="dxa"/>
        </w:tblCellMar>
      </w:tblPr>
      <w:tblGrid>
        <w:gridCol w:w="3964"/>
        <w:gridCol w:w="2694"/>
        <w:gridCol w:w="2551"/>
      </w:tblGrid>
      <w:tr w14:paraId="1ECBD416">
        <w:tblPrEx>
          <w:tblCellMar>
            <w:top w:w="0" w:type="dxa"/>
            <w:left w:w="108" w:type="dxa"/>
            <w:bottom w:w="0" w:type="dxa"/>
            <w:right w:w="108" w:type="dxa"/>
          </w:tblCellMar>
        </w:tblPrEx>
        <w:trPr>
          <w:trHeight w:val="517" w:hRule="atLeast"/>
        </w:trPr>
        <w:tc>
          <w:tcPr>
            <w:tcW w:w="9209" w:type="dxa"/>
            <w:gridSpan w:val="3"/>
            <w:tcBorders>
              <w:top w:val="single" w:color="auto" w:sz="4" w:space="0"/>
              <w:left w:val="single" w:color="auto" w:sz="4" w:space="0"/>
              <w:bottom w:val="single" w:color="auto" w:sz="4" w:space="0"/>
              <w:right w:val="single" w:color="000000" w:sz="4" w:space="0"/>
            </w:tcBorders>
            <w:noWrap/>
            <w:vAlign w:val="center"/>
          </w:tcPr>
          <w:p w14:paraId="22C96C41">
            <w:pPr>
              <w:widowControl/>
              <w:jc w:val="center"/>
              <w:rPr>
                <w:color w:val="000000"/>
                <w:kern w:val="0"/>
                <w:sz w:val="24"/>
              </w:rPr>
            </w:pPr>
            <w:r>
              <w:rPr>
                <w:color w:val="000000"/>
                <w:kern w:val="0"/>
                <w:sz w:val="24"/>
              </w:rPr>
              <w:t>202</w:t>
            </w:r>
            <w:r>
              <w:rPr>
                <w:rFonts w:hint="eastAsia"/>
                <w:color w:val="000000"/>
                <w:kern w:val="0"/>
                <w:sz w:val="24"/>
                <w:lang w:val="en-US" w:eastAsia="zh-CN"/>
              </w:rPr>
              <w:t>5</w:t>
            </w:r>
            <w:r>
              <w:rPr>
                <w:color w:val="000000"/>
                <w:kern w:val="0"/>
                <w:sz w:val="24"/>
              </w:rPr>
              <w:t>~202</w:t>
            </w:r>
            <w:r>
              <w:rPr>
                <w:rFonts w:hint="eastAsia"/>
                <w:color w:val="000000"/>
                <w:kern w:val="0"/>
                <w:sz w:val="24"/>
                <w:lang w:val="en-US" w:eastAsia="zh-CN"/>
              </w:rPr>
              <w:t>6</w:t>
            </w:r>
            <w:r>
              <w:rPr>
                <w:color w:val="000000"/>
                <w:kern w:val="0"/>
                <w:sz w:val="24"/>
              </w:rPr>
              <w:t>年国内预计总发货量</w:t>
            </w:r>
            <w:r>
              <w:rPr>
                <w:rFonts w:hint="eastAsia"/>
                <w:color w:val="000000"/>
                <w:sz w:val="24"/>
                <w:lang w:val="en-US" w:eastAsia="zh-CN"/>
              </w:rPr>
              <w:t>60000</w:t>
            </w:r>
            <w:r>
              <w:rPr>
                <w:color w:val="000000"/>
                <w:kern w:val="0"/>
                <w:sz w:val="24"/>
              </w:rPr>
              <w:t>吨</w:t>
            </w:r>
          </w:p>
        </w:tc>
      </w:tr>
      <w:tr w14:paraId="6667FAC8">
        <w:tblPrEx>
          <w:tblCellMar>
            <w:top w:w="0" w:type="dxa"/>
            <w:left w:w="108" w:type="dxa"/>
            <w:bottom w:w="0" w:type="dxa"/>
            <w:right w:w="108" w:type="dxa"/>
          </w:tblCellMar>
        </w:tblPrEx>
        <w:trPr>
          <w:trHeight w:val="441" w:hRule="atLeast"/>
        </w:trPr>
        <w:tc>
          <w:tcPr>
            <w:tcW w:w="3964" w:type="dxa"/>
            <w:vMerge w:val="restart"/>
            <w:tcBorders>
              <w:top w:val="nil"/>
              <w:left w:val="single" w:color="auto" w:sz="4" w:space="0"/>
              <w:bottom w:val="single" w:color="auto" w:sz="4" w:space="0"/>
              <w:right w:val="single" w:color="auto" w:sz="4" w:space="0"/>
            </w:tcBorders>
            <w:noWrap/>
            <w:vAlign w:val="center"/>
          </w:tcPr>
          <w:p w14:paraId="56A357CB">
            <w:pPr>
              <w:widowControl/>
              <w:rPr>
                <w:color w:val="000000"/>
                <w:kern w:val="0"/>
                <w:sz w:val="24"/>
              </w:rPr>
            </w:pPr>
            <w:r>
              <w:rPr>
                <w:color w:val="000000"/>
                <w:kern w:val="0"/>
                <w:sz w:val="24"/>
              </w:rPr>
              <w:t>202</w:t>
            </w:r>
            <w:r>
              <w:rPr>
                <w:rFonts w:hint="eastAsia"/>
                <w:color w:val="000000"/>
                <w:kern w:val="0"/>
                <w:sz w:val="24"/>
                <w:lang w:val="en-US" w:eastAsia="zh-CN"/>
              </w:rPr>
              <w:t>5</w:t>
            </w:r>
            <w:r>
              <w:rPr>
                <w:color w:val="000000"/>
                <w:kern w:val="0"/>
                <w:sz w:val="24"/>
              </w:rPr>
              <w:t>年国内招标路线全年预计发货量</w:t>
            </w:r>
            <w:r>
              <w:rPr>
                <w:rFonts w:hint="eastAsia"/>
                <w:color w:val="000000"/>
                <w:kern w:val="0"/>
                <w:sz w:val="24"/>
                <w:lang w:val="en-US" w:eastAsia="zh-CN"/>
              </w:rPr>
              <w:t>51000</w:t>
            </w:r>
            <w:r>
              <w:rPr>
                <w:color w:val="000000"/>
                <w:kern w:val="0"/>
                <w:sz w:val="24"/>
              </w:rPr>
              <w:t>吨占总发货量</w:t>
            </w:r>
            <w:r>
              <w:rPr>
                <w:rFonts w:hint="eastAsia"/>
                <w:color w:val="000000"/>
                <w:kern w:val="0"/>
                <w:sz w:val="24"/>
                <w:lang w:val="en-US" w:eastAsia="zh-CN"/>
              </w:rPr>
              <w:t>85</w:t>
            </w:r>
            <w:r>
              <w:rPr>
                <w:color w:val="000000"/>
                <w:kern w:val="0"/>
                <w:sz w:val="24"/>
              </w:rPr>
              <w:t>%</w:t>
            </w:r>
          </w:p>
        </w:tc>
        <w:tc>
          <w:tcPr>
            <w:tcW w:w="2694" w:type="dxa"/>
            <w:tcBorders>
              <w:top w:val="nil"/>
              <w:left w:val="nil"/>
              <w:bottom w:val="single" w:color="auto" w:sz="4" w:space="0"/>
              <w:right w:val="single" w:color="auto" w:sz="4" w:space="0"/>
            </w:tcBorders>
            <w:noWrap/>
            <w:vAlign w:val="center"/>
          </w:tcPr>
          <w:p w14:paraId="3452F0BB">
            <w:pPr>
              <w:widowControl/>
              <w:rPr>
                <w:color w:val="000000"/>
                <w:kern w:val="0"/>
                <w:sz w:val="24"/>
              </w:rPr>
            </w:pPr>
            <w:r>
              <w:rPr>
                <w:color w:val="000000"/>
                <w:kern w:val="0"/>
                <w:sz w:val="24"/>
              </w:rPr>
              <w:t>广东工厂直发</w:t>
            </w:r>
            <w:r>
              <w:rPr>
                <w:rFonts w:hint="eastAsia"/>
                <w:color w:val="000000"/>
                <w:kern w:val="0"/>
                <w:sz w:val="24"/>
                <w:lang w:val="en-US" w:eastAsia="zh-CN"/>
              </w:rPr>
              <w:t>3500</w:t>
            </w:r>
            <w:r>
              <w:rPr>
                <w:color w:val="000000"/>
                <w:kern w:val="0"/>
                <w:sz w:val="24"/>
              </w:rPr>
              <w:t>0吨</w:t>
            </w:r>
          </w:p>
        </w:tc>
        <w:tc>
          <w:tcPr>
            <w:tcW w:w="2551" w:type="dxa"/>
            <w:tcBorders>
              <w:top w:val="nil"/>
              <w:left w:val="nil"/>
              <w:bottom w:val="single" w:color="auto" w:sz="4" w:space="0"/>
              <w:right w:val="single" w:color="auto" w:sz="4" w:space="0"/>
            </w:tcBorders>
            <w:noWrap/>
            <w:vAlign w:val="center"/>
          </w:tcPr>
          <w:p w14:paraId="301B60E3">
            <w:pPr>
              <w:widowControl/>
              <w:rPr>
                <w:color w:val="000000"/>
                <w:kern w:val="0"/>
                <w:sz w:val="24"/>
              </w:rPr>
            </w:pPr>
            <w:r>
              <w:rPr>
                <w:color w:val="000000"/>
                <w:kern w:val="0"/>
                <w:sz w:val="24"/>
              </w:rPr>
              <w:t>益阳工厂直发</w:t>
            </w:r>
            <w:r>
              <w:rPr>
                <w:rFonts w:hint="eastAsia"/>
                <w:color w:val="000000"/>
                <w:kern w:val="0"/>
                <w:sz w:val="24"/>
                <w:lang w:val="en-US" w:eastAsia="zh-CN"/>
              </w:rPr>
              <w:t>700</w:t>
            </w:r>
            <w:r>
              <w:rPr>
                <w:color w:val="000000"/>
                <w:kern w:val="0"/>
                <w:sz w:val="24"/>
              </w:rPr>
              <w:t>0吨</w:t>
            </w:r>
          </w:p>
        </w:tc>
      </w:tr>
      <w:tr w14:paraId="7D60D16A">
        <w:tblPrEx>
          <w:tblCellMar>
            <w:top w:w="0" w:type="dxa"/>
            <w:left w:w="108" w:type="dxa"/>
            <w:bottom w:w="0" w:type="dxa"/>
            <w:right w:w="108" w:type="dxa"/>
          </w:tblCellMar>
        </w:tblPrEx>
        <w:trPr>
          <w:trHeight w:val="418" w:hRule="atLeast"/>
        </w:trPr>
        <w:tc>
          <w:tcPr>
            <w:tcW w:w="3964" w:type="dxa"/>
            <w:vMerge w:val="continue"/>
            <w:tcBorders>
              <w:top w:val="nil"/>
              <w:left w:val="single" w:color="auto" w:sz="4" w:space="0"/>
              <w:bottom w:val="single" w:color="auto" w:sz="4" w:space="0"/>
              <w:right w:val="single" w:color="auto" w:sz="4" w:space="0"/>
            </w:tcBorders>
            <w:noWrap w:val="0"/>
            <w:vAlign w:val="center"/>
          </w:tcPr>
          <w:p w14:paraId="3A45DFE6">
            <w:pPr>
              <w:widowControl/>
              <w:rPr>
                <w:color w:val="000000"/>
                <w:kern w:val="0"/>
                <w:sz w:val="24"/>
              </w:rPr>
            </w:pPr>
          </w:p>
        </w:tc>
        <w:tc>
          <w:tcPr>
            <w:tcW w:w="5245" w:type="dxa"/>
            <w:gridSpan w:val="2"/>
            <w:tcBorders>
              <w:top w:val="single" w:color="auto" w:sz="4" w:space="0"/>
              <w:left w:val="nil"/>
              <w:bottom w:val="single" w:color="auto" w:sz="4" w:space="0"/>
              <w:right w:val="single" w:color="000000" w:sz="4" w:space="0"/>
            </w:tcBorders>
            <w:noWrap/>
            <w:vAlign w:val="center"/>
          </w:tcPr>
          <w:p w14:paraId="192984BD">
            <w:pPr>
              <w:widowControl/>
              <w:rPr>
                <w:color w:val="000000"/>
                <w:kern w:val="0"/>
                <w:sz w:val="24"/>
              </w:rPr>
            </w:pPr>
            <w:r>
              <w:rPr>
                <w:color w:val="000000"/>
                <w:kern w:val="0"/>
                <w:sz w:val="24"/>
              </w:rPr>
              <w:t>采购直发</w:t>
            </w:r>
            <w:r>
              <w:rPr>
                <w:rFonts w:hint="eastAsia"/>
                <w:color w:val="000000"/>
                <w:kern w:val="0"/>
                <w:sz w:val="24"/>
                <w:lang w:val="en-US" w:eastAsia="zh-CN"/>
              </w:rPr>
              <w:t>9000</w:t>
            </w:r>
            <w:r>
              <w:rPr>
                <w:color w:val="000000"/>
                <w:kern w:val="0"/>
                <w:sz w:val="24"/>
              </w:rPr>
              <w:t>吨</w:t>
            </w:r>
          </w:p>
        </w:tc>
      </w:tr>
      <w:tr w14:paraId="466300B4">
        <w:tblPrEx>
          <w:tblCellMar>
            <w:top w:w="0" w:type="dxa"/>
            <w:left w:w="108" w:type="dxa"/>
            <w:bottom w:w="0" w:type="dxa"/>
            <w:right w:w="108" w:type="dxa"/>
          </w:tblCellMar>
        </w:tblPrEx>
        <w:trPr>
          <w:trHeight w:val="550" w:hRule="atLeast"/>
        </w:trPr>
        <w:tc>
          <w:tcPr>
            <w:tcW w:w="3964" w:type="dxa"/>
            <w:tcBorders>
              <w:top w:val="nil"/>
              <w:left w:val="single" w:color="auto" w:sz="4" w:space="0"/>
              <w:bottom w:val="single" w:color="auto" w:sz="4" w:space="0"/>
              <w:right w:val="single" w:color="auto" w:sz="4" w:space="0"/>
            </w:tcBorders>
            <w:noWrap/>
            <w:vAlign w:val="center"/>
          </w:tcPr>
          <w:p w14:paraId="7848FF39">
            <w:pPr>
              <w:widowControl/>
              <w:jc w:val="center"/>
              <w:rPr>
                <w:color w:val="000000"/>
                <w:kern w:val="0"/>
                <w:sz w:val="24"/>
              </w:rPr>
            </w:pPr>
            <w:r>
              <w:rPr>
                <w:color w:val="000000"/>
                <w:kern w:val="0"/>
                <w:sz w:val="24"/>
              </w:rPr>
              <w:t>招标路线</w:t>
            </w:r>
          </w:p>
        </w:tc>
        <w:tc>
          <w:tcPr>
            <w:tcW w:w="5245" w:type="dxa"/>
            <w:gridSpan w:val="2"/>
            <w:tcBorders>
              <w:top w:val="single" w:color="auto" w:sz="4" w:space="0"/>
              <w:left w:val="nil"/>
              <w:bottom w:val="single" w:color="auto" w:sz="4" w:space="0"/>
              <w:right w:val="single" w:color="auto" w:sz="4" w:space="0"/>
            </w:tcBorders>
            <w:noWrap/>
            <w:vAlign w:val="center"/>
          </w:tcPr>
          <w:p w14:paraId="5D948FBB">
            <w:pPr>
              <w:widowControl/>
              <w:jc w:val="center"/>
              <w:rPr>
                <w:color w:val="FF0000"/>
                <w:kern w:val="0"/>
                <w:sz w:val="44"/>
                <w:szCs w:val="44"/>
              </w:rPr>
            </w:pPr>
            <w:r>
              <w:rPr>
                <w:rFonts w:hint="eastAsia"/>
                <w:color w:val="FF0000"/>
                <w:kern w:val="0"/>
                <w:sz w:val="44"/>
                <w:szCs w:val="44"/>
                <w:lang w:val="en-US" w:eastAsia="zh-CN"/>
              </w:rPr>
              <w:t>56</w:t>
            </w:r>
            <w:r>
              <w:rPr>
                <w:color w:val="FF0000"/>
                <w:kern w:val="0"/>
                <w:sz w:val="44"/>
                <w:szCs w:val="44"/>
              </w:rPr>
              <w:t>条</w:t>
            </w:r>
          </w:p>
        </w:tc>
      </w:tr>
      <w:tr w14:paraId="6128ABD0">
        <w:tblPrEx>
          <w:tblCellMar>
            <w:top w:w="0" w:type="dxa"/>
            <w:left w:w="108" w:type="dxa"/>
            <w:bottom w:w="0" w:type="dxa"/>
            <w:right w:w="108" w:type="dxa"/>
          </w:tblCellMar>
        </w:tblPrEx>
        <w:trPr>
          <w:trHeight w:val="360" w:hRule="atLeast"/>
        </w:trPr>
        <w:tc>
          <w:tcPr>
            <w:tcW w:w="9209" w:type="dxa"/>
            <w:gridSpan w:val="3"/>
            <w:tcBorders>
              <w:top w:val="single" w:color="auto" w:sz="4" w:space="0"/>
              <w:left w:val="single" w:color="auto" w:sz="4" w:space="0"/>
              <w:bottom w:val="single" w:color="auto" w:sz="4" w:space="0"/>
              <w:right w:val="single" w:color="auto" w:sz="4" w:space="0"/>
            </w:tcBorders>
            <w:noWrap/>
            <w:vAlign w:val="center"/>
          </w:tcPr>
          <w:p w14:paraId="2A20CCE7">
            <w:pPr>
              <w:widowControl/>
              <w:jc w:val="center"/>
              <w:rPr>
                <w:b/>
                <w:bCs/>
                <w:color w:val="000000"/>
                <w:kern w:val="0"/>
                <w:sz w:val="28"/>
                <w:szCs w:val="28"/>
              </w:rPr>
            </w:pPr>
            <w:r>
              <w:rPr>
                <w:b/>
                <w:bCs/>
                <w:color w:val="000000"/>
                <w:kern w:val="0"/>
                <w:sz w:val="28"/>
                <w:szCs w:val="28"/>
              </w:rPr>
              <w:t>投标单位必须对所有路线进行投标</w:t>
            </w:r>
          </w:p>
        </w:tc>
      </w:tr>
    </w:tbl>
    <w:p w14:paraId="616266EB"/>
    <w:p w14:paraId="09BB5B19"/>
    <w:p w14:paraId="73698032"/>
    <w:p w14:paraId="4319E60E"/>
    <w:p w14:paraId="2F74BC71"/>
    <w:tbl>
      <w:tblPr>
        <w:tblStyle w:val="15"/>
        <w:tblW w:w="4861" w:type="pct"/>
        <w:tblInd w:w="129" w:type="dxa"/>
        <w:tblLayout w:type="autofit"/>
        <w:tblCellMar>
          <w:top w:w="0" w:type="dxa"/>
          <w:left w:w="108" w:type="dxa"/>
          <w:bottom w:w="0" w:type="dxa"/>
          <w:right w:w="108" w:type="dxa"/>
        </w:tblCellMar>
      </w:tblPr>
      <w:tblGrid>
        <w:gridCol w:w="2310"/>
        <w:gridCol w:w="2311"/>
        <w:gridCol w:w="2311"/>
        <w:gridCol w:w="2318"/>
      </w:tblGrid>
      <w:tr w14:paraId="5FB653DC">
        <w:tblPrEx>
          <w:tblCellMar>
            <w:top w:w="0" w:type="dxa"/>
            <w:left w:w="108" w:type="dxa"/>
            <w:bottom w:w="0" w:type="dxa"/>
            <w:right w:w="108" w:type="dxa"/>
          </w:tblCellMar>
        </w:tblPrEx>
        <w:trPr>
          <w:trHeight w:val="397"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00B0F0"/>
            <w:noWrap/>
            <w:vAlign w:val="center"/>
          </w:tcPr>
          <w:p w14:paraId="1DCB0395">
            <w:pPr>
              <w:widowControl/>
              <w:jc w:val="both"/>
              <w:rPr>
                <w:b/>
                <w:bCs/>
                <w:color w:val="FFFFFF"/>
                <w:kern w:val="0"/>
                <w:sz w:val="24"/>
              </w:rPr>
            </w:pPr>
            <w:r>
              <w:rPr>
                <w:b/>
                <w:bCs/>
                <w:color w:val="FFFFFF"/>
                <w:kern w:val="0"/>
                <w:sz w:val="24"/>
              </w:rPr>
              <w:t>以湛江为起运地（计</w:t>
            </w:r>
            <w:r>
              <w:rPr>
                <w:rFonts w:hint="eastAsia"/>
                <w:b/>
                <w:bCs/>
                <w:color w:val="FFFFFF"/>
                <w:kern w:val="0"/>
                <w:sz w:val="24"/>
                <w:lang w:val="en-US" w:eastAsia="zh-CN"/>
              </w:rPr>
              <w:t>22</w:t>
            </w:r>
            <w:r>
              <w:rPr>
                <w:b/>
                <w:bCs/>
                <w:color w:val="FFFFFF"/>
                <w:kern w:val="0"/>
                <w:sz w:val="24"/>
              </w:rPr>
              <w:t>条线路</w:t>
            </w:r>
            <w:r>
              <w:rPr>
                <w:rFonts w:hint="eastAsia"/>
                <w:b/>
                <w:bCs/>
                <w:color w:val="FFFFFF"/>
                <w:kern w:val="0"/>
                <w:sz w:val="24"/>
                <w:lang w:val="en-US" w:eastAsia="zh-CN"/>
              </w:rPr>
              <w:t>35000</w:t>
            </w:r>
            <w:r>
              <w:rPr>
                <w:b/>
                <w:bCs/>
                <w:color w:val="FFFFFF"/>
                <w:kern w:val="0"/>
                <w:sz w:val="24"/>
              </w:rPr>
              <w:t>吨）</w:t>
            </w:r>
          </w:p>
        </w:tc>
      </w:tr>
      <w:tr w14:paraId="6276A551">
        <w:tblPrEx>
          <w:tblCellMar>
            <w:top w:w="0" w:type="dxa"/>
            <w:left w:w="108" w:type="dxa"/>
            <w:bottom w:w="0" w:type="dxa"/>
            <w:right w:w="108" w:type="dxa"/>
          </w:tblCellMar>
        </w:tblPrEx>
        <w:trPr>
          <w:trHeight w:val="395" w:hRule="atLeast"/>
        </w:trPr>
        <w:tc>
          <w:tcPr>
            <w:tcW w:w="1249" w:type="pct"/>
            <w:tcBorders>
              <w:top w:val="nil"/>
              <w:left w:val="single" w:color="auto" w:sz="4" w:space="0"/>
              <w:bottom w:val="single" w:color="auto" w:sz="4" w:space="0"/>
              <w:right w:val="single" w:color="auto" w:sz="4" w:space="0"/>
            </w:tcBorders>
            <w:noWrap/>
            <w:vAlign w:val="center"/>
          </w:tcPr>
          <w:p w14:paraId="3C55F2E1">
            <w:pPr>
              <w:widowControl/>
              <w:jc w:val="both"/>
              <w:rPr>
                <w:color w:val="000000"/>
                <w:kern w:val="0"/>
                <w:sz w:val="22"/>
                <w:szCs w:val="22"/>
              </w:rPr>
            </w:pPr>
            <w:r>
              <w:rPr>
                <w:color w:val="000000"/>
                <w:kern w:val="0"/>
                <w:sz w:val="22"/>
                <w:szCs w:val="22"/>
              </w:rPr>
              <w:t>湛江-</w:t>
            </w:r>
            <w:r>
              <w:rPr>
                <w:rFonts w:hint="eastAsia"/>
                <w:color w:val="000000"/>
                <w:kern w:val="0"/>
                <w:sz w:val="22"/>
                <w:szCs w:val="22"/>
                <w:lang w:val="en-US" w:eastAsia="zh-CN"/>
              </w:rPr>
              <w:t>湛江7000</w:t>
            </w:r>
            <w:r>
              <w:rPr>
                <w:color w:val="000000"/>
                <w:kern w:val="0"/>
                <w:sz w:val="22"/>
                <w:szCs w:val="22"/>
              </w:rPr>
              <w:t>吨</w:t>
            </w:r>
          </w:p>
        </w:tc>
        <w:tc>
          <w:tcPr>
            <w:tcW w:w="1249" w:type="pct"/>
            <w:tcBorders>
              <w:top w:val="nil"/>
              <w:left w:val="nil"/>
              <w:bottom w:val="single" w:color="auto" w:sz="4" w:space="0"/>
              <w:right w:val="single" w:color="auto" w:sz="4" w:space="0"/>
            </w:tcBorders>
            <w:noWrap/>
            <w:vAlign w:val="center"/>
          </w:tcPr>
          <w:p w14:paraId="4BB4C604">
            <w:pPr>
              <w:widowControl/>
              <w:jc w:val="both"/>
              <w:rPr>
                <w:color w:val="000000"/>
                <w:kern w:val="0"/>
                <w:sz w:val="22"/>
                <w:szCs w:val="22"/>
              </w:rPr>
            </w:pPr>
            <w:r>
              <w:rPr>
                <w:color w:val="000000"/>
                <w:kern w:val="0"/>
                <w:sz w:val="22"/>
                <w:szCs w:val="22"/>
              </w:rPr>
              <w:t>湛江-</w:t>
            </w:r>
            <w:r>
              <w:rPr>
                <w:rFonts w:hint="eastAsia"/>
                <w:color w:val="000000"/>
                <w:kern w:val="0"/>
                <w:sz w:val="22"/>
                <w:szCs w:val="22"/>
                <w:lang w:val="en-US" w:eastAsia="zh-CN"/>
              </w:rPr>
              <w:t>上</w:t>
            </w:r>
            <w:r>
              <w:rPr>
                <w:color w:val="000000"/>
                <w:kern w:val="0"/>
                <w:sz w:val="22"/>
                <w:szCs w:val="22"/>
              </w:rPr>
              <w:t>海</w:t>
            </w:r>
            <w:r>
              <w:rPr>
                <w:rFonts w:hint="eastAsia"/>
                <w:color w:val="000000"/>
                <w:kern w:val="0"/>
                <w:sz w:val="22"/>
                <w:szCs w:val="22"/>
                <w:lang w:val="en-US" w:eastAsia="zh-CN"/>
              </w:rPr>
              <w:t>6000</w:t>
            </w:r>
            <w:r>
              <w:rPr>
                <w:color w:val="000000"/>
                <w:kern w:val="0"/>
                <w:sz w:val="22"/>
                <w:szCs w:val="22"/>
              </w:rPr>
              <w:t>吨</w:t>
            </w:r>
          </w:p>
        </w:tc>
        <w:tc>
          <w:tcPr>
            <w:tcW w:w="1249" w:type="pct"/>
            <w:tcBorders>
              <w:top w:val="nil"/>
              <w:left w:val="nil"/>
              <w:bottom w:val="single" w:color="auto" w:sz="4" w:space="0"/>
              <w:right w:val="single" w:color="auto" w:sz="4" w:space="0"/>
            </w:tcBorders>
            <w:noWrap/>
            <w:vAlign w:val="center"/>
          </w:tcPr>
          <w:p w14:paraId="55C0D357">
            <w:pPr>
              <w:widowControl/>
              <w:jc w:val="both"/>
              <w:rPr>
                <w:color w:val="000000"/>
                <w:kern w:val="0"/>
                <w:sz w:val="22"/>
                <w:szCs w:val="22"/>
              </w:rPr>
            </w:pPr>
            <w:r>
              <w:rPr>
                <w:color w:val="000000"/>
                <w:kern w:val="0"/>
                <w:sz w:val="22"/>
                <w:szCs w:val="22"/>
              </w:rPr>
              <w:t>湛江-</w:t>
            </w:r>
            <w:r>
              <w:rPr>
                <w:rFonts w:hint="eastAsia"/>
                <w:color w:val="000000"/>
                <w:kern w:val="0"/>
                <w:sz w:val="22"/>
                <w:szCs w:val="22"/>
                <w:lang w:val="en-US" w:eastAsia="zh-CN"/>
              </w:rPr>
              <w:t>广州220</w:t>
            </w:r>
            <w:r>
              <w:rPr>
                <w:color w:val="000000"/>
                <w:kern w:val="0"/>
                <w:sz w:val="22"/>
                <w:szCs w:val="22"/>
              </w:rPr>
              <w:t>0吨</w:t>
            </w:r>
          </w:p>
        </w:tc>
        <w:tc>
          <w:tcPr>
            <w:tcW w:w="1250" w:type="pct"/>
            <w:tcBorders>
              <w:top w:val="nil"/>
              <w:left w:val="nil"/>
              <w:bottom w:val="single" w:color="auto" w:sz="4" w:space="0"/>
              <w:right w:val="single" w:color="auto" w:sz="4" w:space="0"/>
            </w:tcBorders>
            <w:noWrap/>
            <w:vAlign w:val="center"/>
          </w:tcPr>
          <w:p w14:paraId="495F29B4">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湛江-北京2000吨</w:t>
            </w:r>
          </w:p>
        </w:tc>
      </w:tr>
      <w:tr w14:paraId="6B3D9E39">
        <w:tblPrEx>
          <w:tblCellMar>
            <w:top w:w="0" w:type="dxa"/>
            <w:left w:w="108" w:type="dxa"/>
            <w:bottom w:w="0" w:type="dxa"/>
            <w:right w:w="108" w:type="dxa"/>
          </w:tblCellMar>
        </w:tblPrEx>
        <w:trPr>
          <w:trHeight w:val="395" w:hRule="atLeast"/>
        </w:trPr>
        <w:tc>
          <w:tcPr>
            <w:tcW w:w="1249" w:type="pct"/>
            <w:tcBorders>
              <w:top w:val="nil"/>
              <w:left w:val="single" w:color="auto" w:sz="4" w:space="0"/>
              <w:bottom w:val="single" w:color="auto" w:sz="4" w:space="0"/>
              <w:right w:val="single" w:color="auto" w:sz="4" w:space="0"/>
            </w:tcBorders>
            <w:noWrap/>
            <w:vAlign w:val="center"/>
          </w:tcPr>
          <w:p w14:paraId="7733E5D6">
            <w:pPr>
              <w:widowControl/>
              <w:jc w:val="both"/>
              <w:rPr>
                <w:color w:val="000000"/>
                <w:kern w:val="0"/>
                <w:sz w:val="22"/>
                <w:szCs w:val="22"/>
              </w:rPr>
            </w:pPr>
            <w:r>
              <w:rPr>
                <w:color w:val="000000"/>
                <w:kern w:val="0"/>
                <w:sz w:val="22"/>
                <w:szCs w:val="22"/>
              </w:rPr>
              <w:t>湛江-</w:t>
            </w:r>
            <w:r>
              <w:rPr>
                <w:rFonts w:hint="eastAsia"/>
                <w:color w:val="000000"/>
                <w:kern w:val="0"/>
                <w:sz w:val="22"/>
                <w:szCs w:val="22"/>
                <w:lang w:val="en-US" w:eastAsia="zh-CN"/>
              </w:rPr>
              <w:t>嘉兴180</w:t>
            </w:r>
            <w:r>
              <w:rPr>
                <w:color w:val="000000"/>
                <w:kern w:val="0"/>
                <w:sz w:val="22"/>
                <w:szCs w:val="22"/>
              </w:rPr>
              <w:t>0吨</w:t>
            </w:r>
          </w:p>
        </w:tc>
        <w:tc>
          <w:tcPr>
            <w:tcW w:w="1249" w:type="pct"/>
            <w:tcBorders>
              <w:top w:val="nil"/>
              <w:left w:val="nil"/>
              <w:bottom w:val="single" w:color="auto" w:sz="4" w:space="0"/>
              <w:right w:val="single" w:color="auto" w:sz="4" w:space="0"/>
            </w:tcBorders>
            <w:noWrap/>
            <w:vAlign w:val="center"/>
          </w:tcPr>
          <w:p w14:paraId="05316F70">
            <w:pPr>
              <w:widowControl/>
              <w:jc w:val="both"/>
              <w:rPr>
                <w:color w:val="000000"/>
                <w:kern w:val="0"/>
                <w:sz w:val="22"/>
                <w:szCs w:val="22"/>
              </w:rPr>
            </w:pPr>
            <w:r>
              <w:rPr>
                <w:color w:val="000000"/>
                <w:kern w:val="0"/>
                <w:sz w:val="22"/>
                <w:szCs w:val="22"/>
              </w:rPr>
              <w:t>湛江-</w:t>
            </w:r>
            <w:r>
              <w:rPr>
                <w:rFonts w:hint="eastAsia"/>
                <w:color w:val="000000"/>
                <w:kern w:val="0"/>
                <w:sz w:val="22"/>
                <w:szCs w:val="22"/>
                <w:lang w:val="en-US" w:eastAsia="zh-CN"/>
              </w:rPr>
              <w:t>西安1600</w:t>
            </w:r>
            <w:r>
              <w:rPr>
                <w:color w:val="000000"/>
                <w:kern w:val="0"/>
                <w:sz w:val="22"/>
                <w:szCs w:val="22"/>
              </w:rPr>
              <w:t>吨</w:t>
            </w:r>
          </w:p>
        </w:tc>
        <w:tc>
          <w:tcPr>
            <w:tcW w:w="1249" w:type="pct"/>
            <w:tcBorders>
              <w:top w:val="nil"/>
              <w:left w:val="nil"/>
              <w:bottom w:val="single" w:color="auto" w:sz="4" w:space="0"/>
              <w:right w:val="single" w:color="auto" w:sz="4" w:space="0"/>
            </w:tcBorders>
            <w:noWrap/>
            <w:vAlign w:val="center"/>
          </w:tcPr>
          <w:p w14:paraId="5CBD88A5">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湛江-成都1500吨</w:t>
            </w:r>
          </w:p>
        </w:tc>
        <w:tc>
          <w:tcPr>
            <w:tcW w:w="1250" w:type="pct"/>
            <w:tcBorders>
              <w:top w:val="nil"/>
              <w:left w:val="nil"/>
              <w:bottom w:val="single" w:color="auto" w:sz="4" w:space="0"/>
              <w:right w:val="single" w:color="auto" w:sz="4" w:space="0"/>
            </w:tcBorders>
            <w:noWrap/>
            <w:vAlign w:val="center"/>
          </w:tcPr>
          <w:p w14:paraId="61851C5B">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湛江-郑州1500吨</w:t>
            </w:r>
          </w:p>
        </w:tc>
      </w:tr>
      <w:tr w14:paraId="51153E2D">
        <w:tblPrEx>
          <w:tblCellMar>
            <w:top w:w="0" w:type="dxa"/>
            <w:left w:w="108" w:type="dxa"/>
            <w:bottom w:w="0" w:type="dxa"/>
            <w:right w:w="108" w:type="dxa"/>
          </w:tblCellMar>
        </w:tblPrEx>
        <w:trPr>
          <w:trHeight w:val="395" w:hRule="atLeast"/>
        </w:trPr>
        <w:tc>
          <w:tcPr>
            <w:tcW w:w="1249" w:type="pct"/>
            <w:tcBorders>
              <w:top w:val="nil"/>
              <w:left w:val="single" w:color="auto" w:sz="4" w:space="0"/>
              <w:bottom w:val="single" w:color="auto" w:sz="4" w:space="0"/>
              <w:right w:val="single" w:color="auto" w:sz="4" w:space="0"/>
            </w:tcBorders>
            <w:noWrap/>
            <w:vAlign w:val="center"/>
          </w:tcPr>
          <w:p w14:paraId="62D30FF8">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湛江-益阳1500吨</w:t>
            </w:r>
          </w:p>
        </w:tc>
        <w:tc>
          <w:tcPr>
            <w:tcW w:w="1249" w:type="pct"/>
            <w:tcBorders>
              <w:top w:val="nil"/>
              <w:left w:val="nil"/>
              <w:bottom w:val="single" w:color="auto" w:sz="4" w:space="0"/>
              <w:right w:val="single" w:color="auto" w:sz="4" w:space="0"/>
            </w:tcBorders>
            <w:noWrap/>
            <w:vAlign w:val="center"/>
          </w:tcPr>
          <w:p w14:paraId="2935BD12">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湛江-深圳1500吨</w:t>
            </w:r>
          </w:p>
        </w:tc>
        <w:tc>
          <w:tcPr>
            <w:tcW w:w="1249" w:type="pct"/>
            <w:tcBorders>
              <w:top w:val="nil"/>
              <w:left w:val="nil"/>
              <w:bottom w:val="single" w:color="auto" w:sz="4" w:space="0"/>
              <w:right w:val="single" w:color="auto" w:sz="4" w:space="0"/>
            </w:tcBorders>
            <w:noWrap/>
            <w:vAlign w:val="center"/>
          </w:tcPr>
          <w:p w14:paraId="7C33F815">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湛江-保定1400吨</w:t>
            </w:r>
          </w:p>
        </w:tc>
        <w:tc>
          <w:tcPr>
            <w:tcW w:w="1250" w:type="pct"/>
            <w:tcBorders>
              <w:top w:val="nil"/>
              <w:left w:val="nil"/>
              <w:bottom w:val="single" w:color="auto" w:sz="4" w:space="0"/>
              <w:right w:val="single" w:color="auto" w:sz="4" w:space="0"/>
            </w:tcBorders>
            <w:noWrap/>
            <w:vAlign w:val="center"/>
          </w:tcPr>
          <w:p w14:paraId="16DAE6D5">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湛江-长沙1000吨</w:t>
            </w:r>
          </w:p>
        </w:tc>
      </w:tr>
      <w:tr w14:paraId="6DAB6F1E">
        <w:tblPrEx>
          <w:tblCellMar>
            <w:top w:w="0" w:type="dxa"/>
            <w:left w:w="108" w:type="dxa"/>
            <w:bottom w:w="0" w:type="dxa"/>
            <w:right w:w="108" w:type="dxa"/>
          </w:tblCellMar>
        </w:tblPrEx>
        <w:trPr>
          <w:trHeight w:val="395" w:hRule="atLeast"/>
        </w:trPr>
        <w:tc>
          <w:tcPr>
            <w:tcW w:w="1249" w:type="pct"/>
            <w:tcBorders>
              <w:top w:val="nil"/>
              <w:left w:val="single" w:color="auto" w:sz="4" w:space="0"/>
              <w:bottom w:val="single" w:color="auto" w:sz="4" w:space="0"/>
              <w:right w:val="single" w:color="auto" w:sz="4" w:space="0"/>
            </w:tcBorders>
            <w:noWrap/>
            <w:vAlign w:val="center"/>
          </w:tcPr>
          <w:p w14:paraId="575F9F53">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湛江-南京1000吨</w:t>
            </w:r>
          </w:p>
        </w:tc>
        <w:tc>
          <w:tcPr>
            <w:tcW w:w="1249" w:type="pct"/>
            <w:tcBorders>
              <w:top w:val="nil"/>
              <w:left w:val="nil"/>
              <w:bottom w:val="single" w:color="auto" w:sz="4" w:space="0"/>
              <w:right w:val="single" w:color="auto" w:sz="4" w:space="0"/>
            </w:tcBorders>
            <w:noWrap/>
            <w:vAlign w:val="center"/>
          </w:tcPr>
          <w:p w14:paraId="5310437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湛江-济南1000吨</w:t>
            </w:r>
          </w:p>
        </w:tc>
        <w:tc>
          <w:tcPr>
            <w:tcW w:w="1249" w:type="pct"/>
            <w:tcBorders>
              <w:top w:val="nil"/>
              <w:left w:val="nil"/>
              <w:bottom w:val="single" w:color="auto" w:sz="4" w:space="0"/>
              <w:right w:val="single" w:color="auto" w:sz="4" w:space="0"/>
            </w:tcBorders>
            <w:noWrap/>
            <w:vAlign w:val="center"/>
          </w:tcPr>
          <w:p w14:paraId="7C298FD0">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湛江-武汉1000吨</w:t>
            </w:r>
          </w:p>
        </w:tc>
        <w:tc>
          <w:tcPr>
            <w:tcW w:w="1250" w:type="pct"/>
            <w:tcBorders>
              <w:top w:val="nil"/>
              <w:left w:val="nil"/>
              <w:bottom w:val="single" w:color="auto" w:sz="4" w:space="0"/>
              <w:right w:val="single" w:color="auto" w:sz="4" w:space="0"/>
            </w:tcBorders>
            <w:noWrap/>
            <w:vAlign w:val="center"/>
          </w:tcPr>
          <w:p w14:paraId="2B28510E">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湛江-重庆700吨</w:t>
            </w:r>
          </w:p>
        </w:tc>
      </w:tr>
      <w:tr w14:paraId="7A14C5CF">
        <w:tblPrEx>
          <w:tblCellMar>
            <w:top w:w="0" w:type="dxa"/>
            <w:left w:w="108" w:type="dxa"/>
            <w:bottom w:w="0" w:type="dxa"/>
            <w:right w:w="108" w:type="dxa"/>
          </w:tblCellMar>
        </w:tblPrEx>
        <w:trPr>
          <w:trHeight w:val="395" w:hRule="atLeast"/>
        </w:trPr>
        <w:tc>
          <w:tcPr>
            <w:tcW w:w="1249" w:type="pct"/>
            <w:tcBorders>
              <w:top w:val="nil"/>
              <w:left w:val="single" w:color="auto" w:sz="4" w:space="0"/>
              <w:bottom w:val="single" w:color="auto" w:sz="4" w:space="0"/>
              <w:right w:val="single" w:color="auto" w:sz="4" w:space="0"/>
            </w:tcBorders>
            <w:noWrap/>
            <w:vAlign w:val="center"/>
          </w:tcPr>
          <w:p w14:paraId="4EE9CCCD">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湛江-福州600吨</w:t>
            </w:r>
          </w:p>
        </w:tc>
        <w:tc>
          <w:tcPr>
            <w:tcW w:w="1249" w:type="pct"/>
            <w:tcBorders>
              <w:top w:val="nil"/>
              <w:left w:val="nil"/>
              <w:bottom w:val="single" w:color="auto" w:sz="4" w:space="0"/>
              <w:right w:val="single" w:color="auto" w:sz="4" w:space="0"/>
            </w:tcBorders>
            <w:noWrap/>
            <w:vAlign w:val="center"/>
          </w:tcPr>
          <w:p w14:paraId="394F10A6">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湛江-东莞400吨</w:t>
            </w:r>
          </w:p>
        </w:tc>
        <w:tc>
          <w:tcPr>
            <w:tcW w:w="1249" w:type="pct"/>
            <w:tcBorders>
              <w:top w:val="nil"/>
              <w:left w:val="nil"/>
              <w:bottom w:val="single" w:color="auto" w:sz="4" w:space="0"/>
              <w:right w:val="single" w:color="auto" w:sz="4" w:space="0"/>
            </w:tcBorders>
            <w:noWrap/>
            <w:vAlign w:val="center"/>
          </w:tcPr>
          <w:p w14:paraId="6A456025">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湛江-洛阳400吨</w:t>
            </w:r>
          </w:p>
        </w:tc>
        <w:tc>
          <w:tcPr>
            <w:tcW w:w="1250" w:type="pct"/>
            <w:tcBorders>
              <w:top w:val="nil"/>
              <w:left w:val="nil"/>
              <w:bottom w:val="single" w:color="auto" w:sz="4" w:space="0"/>
              <w:right w:val="single" w:color="auto" w:sz="4" w:space="0"/>
            </w:tcBorders>
            <w:noWrap/>
            <w:vAlign w:val="center"/>
          </w:tcPr>
          <w:p w14:paraId="3B9C1CF3">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湛江-南昌400吨</w:t>
            </w:r>
          </w:p>
        </w:tc>
      </w:tr>
      <w:tr w14:paraId="4400B549">
        <w:tblPrEx>
          <w:tblCellMar>
            <w:top w:w="0" w:type="dxa"/>
            <w:left w:w="108" w:type="dxa"/>
            <w:bottom w:w="0" w:type="dxa"/>
            <w:right w:w="108" w:type="dxa"/>
          </w:tblCellMar>
        </w:tblPrEx>
        <w:trPr>
          <w:trHeight w:val="395" w:hRule="atLeast"/>
        </w:trPr>
        <w:tc>
          <w:tcPr>
            <w:tcW w:w="1249" w:type="pct"/>
            <w:tcBorders>
              <w:top w:val="nil"/>
              <w:left w:val="single" w:color="auto" w:sz="4" w:space="0"/>
              <w:bottom w:val="single" w:color="auto" w:sz="4" w:space="0"/>
              <w:right w:val="single" w:color="auto" w:sz="4" w:space="0"/>
            </w:tcBorders>
            <w:noWrap/>
            <w:vAlign w:val="center"/>
          </w:tcPr>
          <w:p w14:paraId="13955C3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湛江-佛山300吨</w:t>
            </w:r>
          </w:p>
        </w:tc>
        <w:tc>
          <w:tcPr>
            <w:tcW w:w="1249" w:type="pct"/>
            <w:tcBorders>
              <w:top w:val="nil"/>
              <w:left w:val="nil"/>
              <w:bottom w:val="single" w:color="auto" w:sz="4" w:space="0"/>
              <w:right w:val="single" w:color="auto" w:sz="4" w:space="0"/>
            </w:tcBorders>
            <w:noWrap/>
            <w:vAlign w:val="center"/>
          </w:tcPr>
          <w:p w14:paraId="4DB0B179">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湛江-杭州200吨</w:t>
            </w:r>
          </w:p>
        </w:tc>
        <w:tc>
          <w:tcPr>
            <w:tcW w:w="1249" w:type="pct"/>
            <w:tcBorders>
              <w:top w:val="nil"/>
              <w:left w:val="nil"/>
              <w:bottom w:val="single" w:color="auto" w:sz="4" w:space="0"/>
              <w:right w:val="single" w:color="auto" w:sz="4" w:space="0"/>
            </w:tcBorders>
            <w:noWrap/>
            <w:vAlign w:val="center"/>
          </w:tcPr>
          <w:p w14:paraId="40C1AE32">
            <w:pPr>
              <w:widowControl/>
              <w:jc w:val="both"/>
              <w:rPr>
                <w:color w:val="000000"/>
                <w:kern w:val="0"/>
                <w:sz w:val="22"/>
                <w:szCs w:val="22"/>
              </w:rPr>
            </w:pPr>
          </w:p>
        </w:tc>
        <w:tc>
          <w:tcPr>
            <w:tcW w:w="1250" w:type="pct"/>
            <w:tcBorders>
              <w:top w:val="nil"/>
              <w:left w:val="nil"/>
              <w:bottom w:val="single" w:color="auto" w:sz="4" w:space="0"/>
              <w:right w:val="single" w:color="auto" w:sz="4" w:space="0"/>
            </w:tcBorders>
            <w:noWrap/>
            <w:vAlign w:val="center"/>
          </w:tcPr>
          <w:p w14:paraId="3F7C3EF8">
            <w:pPr>
              <w:widowControl/>
              <w:jc w:val="both"/>
              <w:rPr>
                <w:color w:val="000000"/>
                <w:kern w:val="0"/>
                <w:sz w:val="22"/>
                <w:szCs w:val="22"/>
              </w:rPr>
            </w:pPr>
          </w:p>
        </w:tc>
      </w:tr>
      <w:tr w14:paraId="16BBA6FF">
        <w:trPr>
          <w:trHeight w:val="397"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00B0F0"/>
            <w:noWrap/>
            <w:vAlign w:val="center"/>
          </w:tcPr>
          <w:p w14:paraId="74C63267">
            <w:pPr>
              <w:widowControl/>
              <w:jc w:val="both"/>
              <w:rPr>
                <w:b/>
                <w:bCs/>
                <w:color w:val="FFFFFF"/>
                <w:kern w:val="0"/>
                <w:sz w:val="24"/>
              </w:rPr>
            </w:pPr>
            <w:r>
              <w:rPr>
                <w:b/>
                <w:bCs/>
                <w:color w:val="FFFFFF"/>
                <w:kern w:val="0"/>
                <w:sz w:val="24"/>
              </w:rPr>
              <w:t>以益阳为起运地（计</w:t>
            </w:r>
            <w:r>
              <w:rPr>
                <w:rFonts w:hint="eastAsia"/>
                <w:b/>
                <w:bCs/>
                <w:color w:val="FFFFFF"/>
                <w:kern w:val="0"/>
                <w:sz w:val="24"/>
                <w:lang w:val="en-US" w:eastAsia="zh-CN"/>
              </w:rPr>
              <w:t>19</w:t>
            </w:r>
            <w:r>
              <w:rPr>
                <w:b/>
                <w:bCs/>
                <w:color w:val="FFFFFF"/>
                <w:kern w:val="0"/>
                <w:sz w:val="24"/>
              </w:rPr>
              <w:t>条线路</w:t>
            </w:r>
            <w:r>
              <w:rPr>
                <w:rFonts w:hint="eastAsia"/>
                <w:b/>
                <w:bCs/>
                <w:color w:val="FFFFFF"/>
                <w:kern w:val="0"/>
                <w:sz w:val="24"/>
                <w:lang w:val="en-US" w:eastAsia="zh-CN"/>
              </w:rPr>
              <w:t>700</w:t>
            </w:r>
            <w:r>
              <w:rPr>
                <w:b/>
                <w:bCs/>
                <w:color w:val="FFFFFF"/>
                <w:kern w:val="0"/>
                <w:sz w:val="24"/>
              </w:rPr>
              <w:t>0吨）</w:t>
            </w:r>
          </w:p>
        </w:tc>
      </w:tr>
      <w:tr w14:paraId="0F235A4B">
        <w:tblPrEx>
          <w:tblCellMar>
            <w:top w:w="0" w:type="dxa"/>
            <w:left w:w="108" w:type="dxa"/>
            <w:bottom w:w="0" w:type="dxa"/>
            <w:right w:w="108" w:type="dxa"/>
          </w:tblCellMar>
        </w:tblPrEx>
        <w:trPr>
          <w:trHeight w:val="397" w:hRule="atLeast"/>
        </w:trPr>
        <w:tc>
          <w:tcPr>
            <w:tcW w:w="1249" w:type="pct"/>
            <w:tcBorders>
              <w:top w:val="nil"/>
              <w:left w:val="single" w:color="auto" w:sz="4" w:space="0"/>
              <w:bottom w:val="single" w:color="auto" w:sz="4" w:space="0"/>
              <w:right w:val="single" w:color="auto" w:sz="4" w:space="0"/>
            </w:tcBorders>
            <w:noWrap/>
            <w:vAlign w:val="center"/>
          </w:tcPr>
          <w:p w14:paraId="6D8B6877">
            <w:pPr>
              <w:widowControl/>
              <w:jc w:val="both"/>
              <w:rPr>
                <w:color w:val="000000"/>
                <w:kern w:val="0"/>
                <w:sz w:val="22"/>
                <w:szCs w:val="22"/>
              </w:rPr>
            </w:pPr>
            <w:r>
              <w:rPr>
                <w:color w:val="000000"/>
                <w:kern w:val="0"/>
                <w:sz w:val="22"/>
                <w:szCs w:val="22"/>
              </w:rPr>
              <w:t>益阳-</w:t>
            </w:r>
            <w:r>
              <w:rPr>
                <w:rFonts w:hint="eastAsia"/>
                <w:color w:val="000000"/>
                <w:kern w:val="0"/>
                <w:sz w:val="22"/>
                <w:szCs w:val="22"/>
                <w:lang w:val="en-US" w:eastAsia="zh-CN"/>
              </w:rPr>
              <w:t>广州1500</w:t>
            </w:r>
            <w:r>
              <w:rPr>
                <w:color w:val="000000"/>
                <w:kern w:val="0"/>
                <w:sz w:val="22"/>
                <w:szCs w:val="22"/>
              </w:rPr>
              <w:t>吨</w:t>
            </w:r>
          </w:p>
        </w:tc>
        <w:tc>
          <w:tcPr>
            <w:tcW w:w="1249" w:type="pct"/>
            <w:tcBorders>
              <w:top w:val="nil"/>
              <w:left w:val="nil"/>
              <w:bottom w:val="single" w:color="auto" w:sz="4" w:space="0"/>
              <w:right w:val="single" w:color="auto" w:sz="4" w:space="0"/>
            </w:tcBorders>
            <w:noWrap/>
            <w:vAlign w:val="center"/>
          </w:tcPr>
          <w:p w14:paraId="27FFBF31">
            <w:pPr>
              <w:widowControl/>
              <w:jc w:val="both"/>
              <w:rPr>
                <w:color w:val="000000"/>
                <w:kern w:val="0"/>
                <w:sz w:val="22"/>
                <w:szCs w:val="22"/>
              </w:rPr>
            </w:pPr>
            <w:r>
              <w:rPr>
                <w:color w:val="000000"/>
                <w:kern w:val="0"/>
                <w:sz w:val="22"/>
                <w:szCs w:val="22"/>
              </w:rPr>
              <w:t>益阳-</w:t>
            </w:r>
            <w:r>
              <w:rPr>
                <w:rFonts w:hint="eastAsia"/>
                <w:color w:val="000000"/>
                <w:kern w:val="0"/>
                <w:sz w:val="22"/>
                <w:szCs w:val="22"/>
                <w:lang w:val="en-US" w:eastAsia="zh-CN"/>
              </w:rPr>
              <w:t>湛江50</w:t>
            </w:r>
            <w:r>
              <w:rPr>
                <w:color w:val="000000"/>
                <w:kern w:val="0"/>
                <w:sz w:val="22"/>
                <w:szCs w:val="22"/>
              </w:rPr>
              <w:t>0吨</w:t>
            </w:r>
          </w:p>
        </w:tc>
        <w:tc>
          <w:tcPr>
            <w:tcW w:w="1249" w:type="pct"/>
            <w:tcBorders>
              <w:top w:val="nil"/>
              <w:left w:val="nil"/>
              <w:bottom w:val="single" w:color="auto" w:sz="4" w:space="0"/>
              <w:right w:val="single" w:color="auto" w:sz="4" w:space="0"/>
            </w:tcBorders>
            <w:noWrap/>
            <w:vAlign w:val="center"/>
          </w:tcPr>
          <w:p w14:paraId="125D2206">
            <w:pPr>
              <w:widowControl/>
              <w:jc w:val="both"/>
              <w:rPr>
                <w:color w:val="000000"/>
                <w:kern w:val="0"/>
                <w:sz w:val="22"/>
                <w:szCs w:val="22"/>
              </w:rPr>
            </w:pPr>
            <w:r>
              <w:rPr>
                <w:color w:val="000000"/>
                <w:kern w:val="0"/>
                <w:sz w:val="22"/>
                <w:szCs w:val="22"/>
              </w:rPr>
              <w:t>益阳-</w:t>
            </w:r>
            <w:r>
              <w:rPr>
                <w:rFonts w:hint="eastAsia"/>
                <w:color w:val="000000"/>
                <w:kern w:val="0"/>
                <w:sz w:val="22"/>
                <w:szCs w:val="22"/>
                <w:lang w:val="en-US" w:eastAsia="zh-CN"/>
              </w:rPr>
              <w:t>上海50</w:t>
            </w:r>
            <w:r>
              <w:rPr>
                <w:color w:val="000000"/>
                <w:kern w:val="0"/>
                <w:sz w:val="22"/>
                <w:szCs w:val="22"/>
              </w:rPr>
              <w:t>0吨</w:t>
            </w:r>
          </w:p>
        </w:tc>
        <w:tc>
          <w:tcPr>
            <w:tcW w:w="1250" w:type="pct"/>
            <w:tcBorders>
              <w:top w:val="nil"/>
              <w:left w:val="nil"/>
              <w:bottom w:val="single" w:color="auto" w:sz="4" w:space="0"/>
              <w:right w:val="single" w:color="auto" w:sz="4" w:space="0"/>
            </w:tcBorders>
            <w:noWrap/>
            <w:vAlign w:val="center"/>
          </w:tcPr>
          <w:p w14:paraId="7C87EE92">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益阳-嘉兴500吨</w:t>
            </w:r>
          </w:p>
        </w:tc>
      </w:tr>
      <w:tr w14:paraId="442D8FEB">
        <w:tblPrEx>
          <w:tblCellMar>
            <w:top w:w="0" w:type="dxa"/>
            <w:left w:w="108" w:type="dxa"/>
            <w:bottom w:w="0" w:type="dxa"/>
            <w:right w:w="108" w:type="dxa"/>
          </w:tblCellMar>
        </w:tblPrEx>
        <w:trPr>
          <w:trHeight w:val="397" w:hRule="atLeast"/>
        </w:trPr>
        <w:tc>
          <w:tcPr>
            <w:tcW w:w="1249" w:type="pct"/>
            <w:tcBorders>
              <w:top w:val="nil"/>
              <w:left w:val="single" w:color="auto" w:sz="4" w:space="0"/>
              <w:bottom w:val="single" w:color="auto" w:sz="4" w:space="0"/>
              <w:right w:val="single" w:color="auto" w:sz="4" w:space="0"/>
            </w:tcBorders>
            <w:noWrap/>
            <w:vAlign w:val="center"/>
          </w:tcPr>
          <w:p w14:paraId="0174A197">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益阳-海口400吨</w:t>
            </w:r>
          </w:p>
        </w:tc>
        <w:tc>
          <w:tcPr>
            <w:tcW w:w="1249" w:type="pct"/>
            <w:tcBorders>
              <w:top w:val="nil"/>
              <w:left w:val="nil"/>
              <w:bottom w:val="single" w:color="auto" w:sz="4" w:space="0"/>
              <w:right w:val="single" w:color="auto" w:sz="4" w:space="0"/>
            </w:tcBorders>
            <w:noWrap/>
            <w:vAlign w:val="center"/>
          </w:tcPr>
          <w:p w14:paraId="3F14BC2B">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益阳-北京400吨</w:t>
            </w:r>
          </w:p>
        </w:tc>
        <w:tc>
          <w:tcPr>
            <w:tcW w:w="1249" w:type="pct"/>
            <w:tcBorders>
              <w:top w:val="nil"/>
              <w:left w:val="nil"/>
              <w:bottom w:val="single" w:color="auto" w:sz="4" w:space="0"/>
              <w:right w:val="single" w:color="auto" w:sz="4" w:space="0"/>
            </w:tcBorders>
            <w:noWrap/>
            <w:vAlign w:val="center"/>
          </w:tcPr>
          <w:p w14:paraId="459664D9">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益阳-长沙400吨</w:t>
            </w:r>
          </w:p>
        </w:tc>
        <w:tc>
          <w:tcPr>
            <w:tcW w:w="1250" w:type="pct"/>
            <w:tcBorders>
              <w:top w:val="nil"/>
              <w:left w:val="nil"/>
              <w:bottom w:val="single" w:color="auto" w:sz="4" w:space="0"/>
              <w:right w:val="single" w:color="auto" w:sz="4" w:space="0"/>
            </w:tcBorders>
            <w:noWrap/>
            <w:vAlign w:val="center"/>
          </w:tcPr>
          <w:p w14:paraId="522B76A1">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益阳-武汉300吨</w:t>
            </w:r>
          </w:p>
        </w:tc>
      </w:tr>
      <w:tr w14:paraId="5BE48A70">
        <w:tblPrEx>
          <w:tblCellMar>
            <w:top w:w="0" w:type="dxa"/>
            <w:left w:w="108" w:type="dxa"/>
            <w:bottom w:w="0" w:type="dxa"/>
            <w:right w:w="108" w:type="dxa"/>
          </w:tblCellMar>
        </w:tblPrEx>
        <w:trPr>
          <w:trHeight w:val="397" w:hRule="atLeast"/>
        </w:trPr>
        <w:tc>
          <w:tcPr>
            <w:tcW w:w="1249" w:type="pct"/>
            <w:tcBorders>
              <w:top w:val="nil"/>
              <w:left w:val="single" w:color="auto" w:sz="4" w:space="0"/>
              <w:bottom w:val="single" w:color="auto" w:sz="4" w:space="0"/>
              <w:right w:val="single" w:color="auto" w:sz="4" w:space="0"/>
            </w:tcBorders>
            <w:noWrap/>
            <w:vAlign w:val="center"/>
          </w:tcPr>
          <w:p w14:paraId="0D4EDC67">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益阳-保定300吨</w:t>
            </w:r>
          </w:p>
        </w:tc>
        <w:tc>
          <w:tcPr>
            <w:tcW w:w="1249" w:type="pct"/>
            <w:tcBorders>
              <w:top w:val="nil"/>
              <w:left w:val="nil"/>
              <w:bottom w:val="single" w:color="auto" w:sz="4" w:space="0"/>
              <w:right w:val="single" w:color="auto" w:sz="4" w:space="0"/>
            </w:tcBorders>
            <w:noWrap/>
            <w:vAlign w:val="center"/>
          </w:tcPr>
          <w:p w14:paraId="5109083B">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益阳-郑州300吨</w:t>
            </w:r>
          </w:p>
        </w:tc>
        <w:tc>
          <w:tcPr>
            <w:tcW w:w="1249" w:type="pct"/>
            <w:tcBorders>
              <w:top w:val="nil"/>
              <w:left w:val="nil"/>
              <w:bottom w:val="single" w:color="auto" w:sz="4" w:space="0"/>
              <w:right w:val="single" w:color="auto" w:sz="4" w:space="0"/>
            </w:tcBorders>
            <w:noWrap/>
            <w:vAlign w:val="center"/>
          </w:tcPr>
          <w:p w14:paraId="4FBE30BE">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益阳-深圳300吨</w:t>
            </w:r>
          </w:p>
        </w:tc>
        <w:tc>
          <w:tcPr>
            <w:tcW w:w="1250" w:type="pct"/>
            <w:tcBorders>
              <w:top w:val="nil"/>
              <w:left w:val="nil"/>
              <w:bottom w:val="single" w:color="auto" w:sz="4" w:space="0"/>
              <w:right w:val="single" w:color="auto" w:sz="4" w:space="0"/>
            </w:tcBorders>
            <w:noWrap/>
            <w:vAlign w:val="center"/>
          </w:tcPr>
          <w:p w14:paraId="6C0826C7">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益阳-西安200吨</w:t>
            </w:r>
          </w:p>
        </w:tc>
      </w:tr>
      <w:tr w14:paraId="27370909">
        <w:tblPrEx>
          <w:tblCellMar>
            <w:top w:w="0" w:type="dxa"/>
            <w:left w:w="108" w:type="dxa"/>
            <w:bottom w:w="0" w:type="dxa"/>
            <w:right w:w="108" w:type="dxa"/>
          </w:tblCellMar>
        </w:tblPrEx>
        <w:trPr>
          <w:trHeight w:val="397" w:hRule="atLeast"/>
        </w:trPr>
        <w:tc>
          <w:tcPr>
            <w:tcW w:w="1249" w:type="pct"/>
            <w:tcBorders>
              <w:top w:val="nil"/>
              <w:left w:val="single" w:color="auto" w:sz="4" w:space="0"/>
              <w:bottom w:val="single" w:color="auto" w:sz="4" w:space="0"/>
              <w:right w:val="single" w:color="auto" w:sz="4" w:space="0"/>
            </w:tcBorders>
            <w:noWrap/>
            <w:vAlign w:val="center"/>
          </w:tcPr>
          <w:p w14:paraId="58803E1E">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益阳-东莞200吨</w:t>
            </w:r>
          </w:p>
        </w:tc>
        <w:tc>
          <w:tcPr>
            <w:tcW w:w="1249" w:type="pct"/>
            <w:tcBorders>
              <w:top w:val="nil"/>
              <w:left w:val="nil"/>
              <w:bottom w:val="single" w:color="auto" w:sz="4" w:space="0"/>
              <w:right w:val="single" w:color="auto" w:sz="4" w:space="0"/>
            </w:tcBorders>
            <w:noWrap/>
            <w:vAlign w:val="center"/>
          </w:tcPr>
          <w:p w14:paraId="4E8AA463">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益阳-南昌200吨</w:t>
            </w:r>
          </w:p>
        </w:tc>
        <w:tc>
          <w:tcPr>
            <w:tcW w:w="1249" w:type="pct"/>
            <w:tcBorders>
              <w:top w:val="nil"/>
              <w:left w:val="nil"/>
              <w:bottom w:val="single" w:color="auto" w:sz="4" w:space="0"/>
              <w:right w:val="single" w:color="auto" w:sz="4" w:space="0"/>
            </w:tcBorders>
            <w:noWrap/>
            <w:vAlign w:val="center"/>
          </w:tcPr>
          <w:p w14:paraId="241DF54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益阳-济南200吨</w:t>
            </w:r>
          </w:p>
        </w:tc>
        <w:tc>
          <w:tcPr>
            <w:tcW w:w="1250" w:type="pct"/>
            <w:tcBorders>
              <w:top w:val="nil"/>
              <w:left w:val="nil"/>
              <w:bottom w:val="single" w:color="auto" w:sz="4" w:space="0"/>
              <w:right w:val="single" w:color="auto" w:sz="4" w:space="0"/>
            </w:tcBorders>
            <w:noWrap/>
            <w:vAlign w:val="center"/>
          </w:tcPr>
          <w:p w14:paraId="5CACF15D">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益阳-佛山200吨</w:t>
            </w:r>
          </w:p>
        </w:tc>
      </w:tr>
      <w:tr w14:paraId="232AE2B1">
        <w:tblPrEx>
          <w:tblCellMar>
            <w:top w:w="0" w:type="dxa"/>
            <w:left w:w="108" w:type="dxa"/>
            <w:bottom w:w="0" w:type="dxa"/>
            <w:right w:w="108" w:type="dxa"/>
          </w:tblCellMar>
        </w:tblPrEx>
        <w:trPr>
          <w:trHeight w:val="397" w:hRule="atLeast"/>
        </w:trPr>
        <w:tc>
          <w:tcPr>
            <w:tcW w:w="1249" w:type="pct"/>
            <w:tcBorders>
              <w:top w:val="nil"/>
              <w:left w:val="single" w:color="auto" w:sz="4" w:space="0"/>
              <w:bottom w:val="single" w:color="auto" w:sz="4" w:space="0"/>
              <w:right w:val="single" w:color="auto" w:sz="4" w:space="0"/>
            </w:tcBorders>
            <w:noWrap/>
            <w:vAlign w:val="center"/>
          </w:tcPr>
          <w:p w14:paraId="6C9A741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益阳-南京200吨</w:t>
            </w:r>
          </w:p>
        </w:tc>
        <w:tc>
          <w:tcPr>
            <w:tcW w:w="2311" w:type="dxa"/>
            <w:tcBorders>
              <w:top w:val="nil"/>
              <w:left w:val="nil"/>
              <w:bottom w:val="single" w:color="auto" w:sz="4" w:space="0"/>
              <w:right w:val="single" w:color="auto" w:sz="4" w:space="0"/>
            </w:tcBorders>
            <w:noWrap/>
            <w:vAlign w:val="center"/>
          </w:tcPr>
          <w:p w14:paraId="335337B1">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益阳-成都200吨</w:t>
            </w:r>
          </w:p>
        </w:tc>
        <w:tc>
          <w:tcPr>
            <w:tcW w:w="1249" w:type="pct"/>
            <w:tcBorders>
              <w:top w:val="nil"/>
              <w:left w:val="nil"/>
              <w:bottom w:val="single" w:color="auto" w:sz="4" w:space="0"/>
              <w:right w:val="single" w:color="auto" w:sz="4" w:space="0"/>
            </w:tcBorders>
            <w:noWrap/>
            <w:vAlign w:val="center"/>
          </w:tcPr>
          <w:p w14:paraId="3CE8AD1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益阳-重庆200吨</w:t>
            </w:r>
          </w:p>
        </w:tc>
        <w:tc>
          <w:tcPr>
            <w:tcW w:w="1250" w:type="pct"/>
            <w:tcBorders>
              <w:top w:val="nil"/>
              <w:left w:val="nil"/>
              <w:bottom w:val="single" w:color="auto" w:sz="4" w:space="0"/>
              <w:right w:val="single" w:color="auto" w:sz="4" w:space="0"/>
            </w:tcBorders>
            <w:noWrap/>
            <w:vAlign w:val="center"/>
          </w:tcPr>
          <w:p w14:paraId="63D68277">
            <w:pPr>
              <w:widowControl/>
              <w:jc w:val="both"/>
              <w:rPr>
                <w:rFonts w:hint="default" w:eastAsia="宋体"/>
                <w:color w:val="000000"/>
                <w:kern w:val="0"/>
                <w:sz w:val="22"/>
                <w:szCs w:val="22"/>
                <w:lang w:val="en-US" w:eastAsia="zh-CN"/>
              </w:rPr>
            </w:pPr>
          </w:p>
        </w:tc>
      </w:tr>
      <w:tr w14:paraId="510481B9">
        <w:tblPrEx>
          <w:tblCellMar>
            <w:top w:w="0" w:type="dxa"/>
            <w:left w:w="108" w:type="dxa"/>
            <w:bottom w:w="0" w:type="dxa"/>
            <w:right w:w="108" w:type="dxa"/>
          </w:tblCellMar>
        </w:tblPrEx>
        <w:trPr>
          <w:trHeight w:val="397"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00B0F0"/>
            <w:noWrap/>
            <w:vAlign w:val="center"/>
          </w:tcPr>
          <w:p w14:paraId="1C5A4597">
            <w:pPr>
              <w:widowControl/>
              <w:jc w:val="both"/>
              <w:rPr>
                <w:b/>
                <w:bCs/>
                <w:color w:val="FFFFFF"/>
                <w:kern w:val="0"/>
                <w:sz w:val="24"/>
              </w:rPr>
            </w:pPr>
            <w:r>
              <w:rPr>
                <w:b/>
                <w:bCs/>
                <w:color w:val="FFFFFF"/>
                <w:kern w:val="0"/>
                <w:sz w:val="24"/>
              </w:rPr>
              <w:t>采购招标（计</w:t>
            </w:r>
            <w:r>
              <w:rPr>
                <w:rFonts w:hint="eastAsia"/>
                <w:b/>
                <w:bCs/>
                <w:color w:val="FFFFFF"/>
                <w:kern w:val="0"/>
                <w:sz w:val="24"/>
                <w:lang w:val="en-US" w:eastAsia="zh-CN"/>
              </w:rPr>
              <w:t>15</w:t>
            </w:r>
            <w:r>
              <w:rPr>
                <w:b/>
                <w:bCs/>
                <w:color w:val="FFFFFF"/>
                <w:kern w:val="0"/>
                <w:sz w:val="24"/>
              </w:rPr>
              <w:t>条线路</w:t>
            </w:r>
            <w:r>
              <w:rPr>
                <w:rFonts w:hint="eastAsia"/>
                <w:b/>
                <w:bCs/>
                <w:color w:val="FFFFFF"/>
                <w:kern w:val="0"/>
                <w:sz w:val="24"/>
                <w:lang w:val="en-US" w:eastAsia="zh-CN"/>
              </w:rPr>
              <w:t>90</w:t>
            </w:r>
            <w:r>
              <w:rPr>
                <w:b/>
                <w:bCs/>
                <w:color w:val="FFFFFF"/>
                <w:kern w:val="0"/>
                <w:sz w:val="24"/>
              </w:rPr>
              <w:t>00吨）</w:t>
            </w:r>
          </w:p>
        </w:tc>
      </w:tr>
      <w:tr w14:paraId="3D5182DF">
        <w:tblPrEx>
          <w:tblCellMar>
            <w:top w:w="0" w:type="dxa"/>
            <w:left w:w="108" w:type="dxa"/>
            <w:bottom w:w="0" w:type="dxa"/>
            <w:right w:w="108" w:type="dxa"/>
          </w:tblCellMar>
        </w:tblPrEx>
        <w:trPr>
          <w:trHeight w:val="397" w:hRule="atLeast"/>
        </w:trPr>
        <w:tc>
          <w:tcPr>
            <w:tcW w:w="1249" w:type="pct"/>
            <w:tcBorders>
              <w:top w:val="nil"/>
              <w:left w:val="single" w:color="auto" w:sz="4" w:space="0"/>
              <w:bottom w:val="nil"/>
              <w:right w:val="single" w:color="auto" w:sz="4" w:space="0"/>
            </w:tcBorders>
            <w:noWrap/>
            <w:vAlign w:val="center"/>
          </w:tcPr>
          <w:p w14:paraId="099DA366">
            <w:pPr>
              <w:widowControl/>
              <w:jc w:val="both"/>
              <w:rPr>
                <w:color w:val="000000"/>
                <w:kern w:val="0"/>
                <w:sz w:val="22"/>
                <w:szCs w:val="22"/>
              </w:rPr>
            </w:pPr>
            <w:r>
              <w:rPr>
                <w:color w:val="000000"/>
                <w:kern w:val="0"/>
                <w:sz w:val="22"/>
                <w:szCs w:val="22"/>
              </w:rPr>
              <w:t>福州-湛江</w:t>
            </w:r>
            <w:r>
              <w:rPr>
                <w:rFonts w:hint="eastAsia"/>
                <w:color w:val="000000"/>
                <w:kern w:val="0"/>
                <w:sz w:val="22"/>
                <w:szCs w:val="22"/>
                <w:lang w:val="en-US" w:eastAsia="zh-CN"/>
              </w:rPr>
              <w:t>23</w:t>
            </w:r>
            <w:r>
              <w:rPr>
                <w:color w:val="000000"/>
                <w:kern w:val="0"/>
                <w:sz w:val="22"/>
                <w:szCs w:val="22"/>
              </w:rPr>
              <w:t>00吨</w:t>
            </w:r>
          </w:p>
        </w:tc>
        <w:tc>
          <w:tcPr>
            <w:tcW w:w="1249" w:type="pct"/>
            <w:tcBorders>
              <w:top w:val="nil"/>
              <w:left w:val="nil"/>
              <w:bottom w:val="nil"/>
              <w:right w:val="single" w:color="auto" w:sz="4" w:space="0"/>
            </w:tcBorders>
            <w:noWrap/>
            <w:vAlign w:val="center"/>
          </w:tcPr>
          <w:p w14:paraId="17DDC41D">
            <w:pPr>
              <w:widowControl/>
              <w:jc w:val="both"/>
              <w:rPr>
                <w:color w:val="000000"/>
                <w:kern w:val="0"/>
                <w:sz w:val="22"/>
                <w:szCs w:val="22"/>
              </w:rPr>
            </w:pPr>
            <w:r>
              <w:rPr>
                <w:rFonts w:hint="eastAsia"/>
                <w:color w:val="000000"/>
                <w:kern w:val="0"/>
                <w:sz w:val="22"/>
                <w:szCs w:val="22"/>
                <w:lang w:val="en-US" w:eastAsia="zh-CN"/>
              </w:rPr>
              <w:t>汕头</w:t>
            </w:r>
            <w:r>
              <w:rPr>
                <w:color w:val="000000"/>
                <w:kern w:val="0"/>
                <w:sz w:val="22"/>
                <w:szCs w:val="22"/>
              </w:rPr>
              <w:t>-湛江</w:t>
            </w:r>
            <w:r>
              <w:rPr>
                <w:rFonts w:hint="eastAsia"/>
                <w:color w:val="000000"/>
                <w:kern w:val="0"/>
                <w:sz w:val="22"/>
                <w:szCs w:val="22"/>
                <w:lang w:val="en-US" w:eastAsia="zh-CN"/>
              </w:rPr>
              <w:t>1000</w:t>
            </w:r>
            <w:r>
              <w:rPr>
                <w:color w:val="000000"/>
                <w:kern w:val="0"/>
                <w:sz w:val="22"/>
                <w:szCs w:val="22"/>
              </w:rPr>
              <w:t>吨</w:t>
            </w:r>
          </w:p>
        </w:tc>
        <w:tc>
          <w:tcPr>
            <w:tcW w:w="1249" w:type="pct"/>
            <w:tcBorders>
              <w:top w:val="nil"/>
              <w:left w:val="nil"/>
              <w:bottom w:val="nil"/>
              <w:right w:val="single" w:color="auto" w:sz="4" w:space="0"/>
            </w:tcBorders>
            <w:noWrap/>
            <w:vAlign w:val="center"/>
          </w:tcPr>
          <w:p w14:paraId="50AA91C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长沙-益阳900吨</w:t>
            </w:r>
          </w:p>
        </w:tc>
        <w:tc>
          <w:tcPr>
            <w:tcW w:w="1250" w:type="pct"/>
            <w:tcBorders>
              <w:top w:val="nil"/>
              <w:left w:val="nil"/>
              <w:bottom w:val="nil"/>
              <w:right w:val="single" w:color="auto" w:sz="4" w:space="0"/>
            </w:tcBorders>
            <w:noWrap/>
            <w:vAlign w:val="center"/>
          </w:tcPr>
          <w:p w14:paraId="60B7A37E">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东兴-湛江500吨</w:t>
            </w:r>
          </w:p>
        </w:tc>
      </w:tr>
      <w:tr w14:paraId="21F09BF2">
        <w:tblPrEx>
          <w:tblCellMar>
            <w:top w:w="0" w:type="dxa"/>
            <w:left w:w="108" w:type="dxa"/>
            <w:bottom w:w="0" w:type="dxa"/>
            <w:right w:w="108" w:type="dxa"/>
          </w:tblCellMar>
        </w:tblPrEx>
        <w:trPr>
          <w:trHeight w:val="397" w:hRule="atLeast"/>
        </w:trPr>
        <w:tc>
          <w:tcPr>
            <w:tcW w:w="1249" w:type="pct"/>
            <w:tcBorders>
              <w:top w:val="nil"/>
              <w:left w:val="single" w:color="auto" w:sz="4" w:space="0"/>
              <w:bottom w:val="nil"/>
              <w:right w:val="single" w:color="auto" w:sz="4" w:space="0"/>
            </w:tcBorders>
            <w:noWrap/>
            <w:vAlign w:val="center"/>
          </w:tcPr>
          <w:p w14:paraId="6259BAC8">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北海-湛江500吨</w:t>
            </w:r>
          </w:p>
        </w:tc>
        <w:tc>
          <w:tcPr>
            <w:tcW w:w="1249" w:type="pct"/>
            <w:tcBorders>
              <w:top w:val="nil"/>
              <w:left w:val="nil"/>
              <w:bottom w:val="nil"/>
              <w:right w:val="single" w:color="auto" w:sz="4" w:space="0"/>
            </w:tcBorders>
            <w:noWrap/>
            <w:vAlign w:val="center"/>
          </w:tcPr>
          <w:p w14:paraId="15AC8E29">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江门-湛江500吨</w:t>
            </w:r>
          </w:p>
        </w:tc>
        <w:tc>
          <w:tcPr>
            <w:tcW w:w="1249" w:type="pct"/>
            <w:tcBorders>
              <w:top w:val="nil"/>
              <w:left w:val="nil"/>
              <w:bottom w:val="nil"/>
              <w:right w:val="single" w:color="auto" w:sz="4" w:space="0"/>
            </w:tcBorders>
            <w:noWrap/>
            <w:vAlign w:val="center"/>
          </w:tcPr>
          <w:p w14:paraId="2930A0F6">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天津-北京400吨</w:t>
            </w:r>
          </w:p>
        </w:tc>
        <w:tc>
          <w:tcPr>
            <w:tcW w:w="1250" w:type="pct"/>
            <w:tcBorders>
              <w:top w:val="nil"/>
              <w:left w:val="nil"/>
              <w:bottom w:val="nil"/>
              <w:right w:val="single" w:color="auto" w:sz="4" w:space="0"/>
            </w:tcBorders>
            <w:noWrap/>
            <w:vAlign w:val="center"/>
          </w:tcPr>
          <w:p w14:paraId="3CBC9A6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天津-聊城400吨</w:t>
            </w:r>
          </w:p>
        </w:tc>
      </w:tr>
      <w:tr w14:paraId="7A30DE8A">
        <w:tblPrEx>
          <w:tblCellMar>
            <w:top w:w="0" w:type="dxa"/>
            <w:left w:w="108" w:type="dxa"/>
            <w:bottom w:w="0" w:type="dxa"/>
            <w:right w:w="108" w:type="dxa"/>
          </w:tblCellMar>
        </w:tblPrEx>
        <w:trPr>
          <w:trHeight w:val="397" w:hRule="atLeast"/>
        </w:trPr>
        <w:tc>
          <w:tcPr>
            <w:tcW w:w="1249" w:type="pct"/>
            <w:tcBorders>
              <w:top w:val="nil"/>
              <w:left w:val="single" w:color="auto" w:sz="4" w:space="0"/>
              <w:bottom w:val="nil"/>
              <w:right w:val="single" w:color="auto" w:sz="4" w:space="0"/>
            </w:tcBorders>
            <w:noWrap/>
            <w:vAlign w:val="center"/>
          </w:tcPr>
          <w:p w14:paraId="5FCB7A89">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阳江-湛江400吨</w:t>
            </w:r>
          </w:p>
        </w:tc>
        <w:tc>
          <w:tcPr>
            <w:tcW w:w="1249" w:type="pct"/>
            <w:tcBorders>
              <w:top w:val="nil"/>
              <w:left w:val="nil"/>
              <w:bottom w:val="nil"/>
              <w:right w:val="single" w:color="auto" w:sz="4" w:space="0"/>
            </w:tcBorders>
            <w:noWrap/>
            <w:vAlign w:val="center"/>
          </w:tcPr>
          <w:p w14:paraId="4A5551B9">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聊城-北京400吨</w:t>
            </w:r>
          </w:p>
        </w:tc>
        <w:tc>
          <w:tcPr>
            <w:tcW w:w="1249" w:type="pct"/>
            <w:tcBorders>
              <w:top w:val="nil"/>
              <w:left w:val="nil"/>
              <w:bottom w:val="nil"/>
              <w:right w:val="single" w:color="auto" w:sz="4" w:space="0"/>
            </w:tcBorders>
            <w:noWrap/>
            <w:vAlign w:val="center"/>
          </w:tcPr>
          <w:p w14:paraId="26FB6610">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天津-天津300吨</w:t>
            </w:r>
          </w:p>
        </w:tc>
        <w:tc>
          <w:tcPr>
            <w:tcW w:w="1250" w:type="pct"/>
            <w:tcBorders>
              <w:top w:val="nil"/>
              <w:left w:val="nil"/>
              <w:bottom w:val="nil"/>
              <w:right w:val="single" w:color="auto" w:sz="4" w:space="0"/>
            </w:tcBorders>
            <w:noWrap/>
            <w:vAlign w:val="center"/>
          </w:tcPr>
          <w:p w14:paraId="6A7B56E8">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澄迈-湛江300吨</w:t>
            </w:r>
          </w:p>
        </w:tc>
      </w:tr>
      <w:tr w14:paraId="19F417C1">
        <w:tblPrEx>
          <w:tblCellMar>
            <w:top w:w="0" w:type="dxa"/>
            <w:left w:w="108" w:type="dxa"/>
            <w:bottom w:w="0" w:type="dxa"/>
            <w:right w:w="108" w:type="dxa"/>
          </w:tblCellMar>
        </w:tblPrEx>
        <w:trPr>
          <w:trHeight w:val="397" w:hRule="atLeast"/>
        </w:trPr>
        <w:tc>
          <w:tcPr>
            <w:tcW w:w="1249" w:type="pct"/>
            <w:tcBorders>
              <w:top w:val="nil"/>
              <w:left w:val="single" w:color="auto" w:sz="4" w:space="0"/>
              <w:bottom w:val="single" w:color="auto" w:sz="4" w:space="0"/>
              <w:right w:val="single" w:color="auto" w:sz="4" w:space="0"/>
            </w:tcBorders>
            <w:noWrap/>
            <w:vAlign w:val="center"/>
          </w:tcPr>
          <w:p w14:paraId="220824EC">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天津-沈阳300吨</w:t>
            </w:r>
          </w:p>
        </w:tc>
        <w:tc>
          <w:tcPr>
            <w:tcW w:w="1249" w:type="pct"/>
            <w:tcBorders>
              <w:top w:val="nil"/>
              <w:left w:val="nil"/>
              <w:bottom w:val="single" w:color="auto" w:sz="4" w:space="0"/>
              <w:right w:val="single" w:color="auto" w:sz="4" w:space="0"/>
            </w:tcBorders>
            <w:noWrap/>
            <w:vAlign w:val="center"/>
          </w:tcPr>
          <w:p w14:paraId="73A479BB">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防城港-湛江600吨</w:t>
            </w:r>
          </w:p>
        </w:tc>
        <w:tc>
          <w:tcPr>
            <w:tcW w:w="1249" w:type="pct"/>
            <w:tcBorders>
              <w:top w:val="nil"/>
              <w:left w:val="nil"/>
              <w:bottom w:val="single" w:color="auto" w:sz="4" w:space="0"/>
              <w:right w:val="single" w:color="auto" w:sz="4" w:space="0"/>
            </w:tcBorders>
            <w:noWrap/>
            <w:vAlign w:val="center"/>
          </w:tcPr>
          <w:p w14:paraId="76CE6856">
            <w:pPr>
              <w:widowControl/>
              <w:jc w:val="both"/>
              <w:rPr>
                <w:rFonts w:hint="default" w:eastAsia="宋体"/>
                <w:color w:val="000000"/>
                <w:kern w:val="0"/>
                <w:sz w:val="22"/>
                <w:szCs w:val="22"/>
                <w:lang w:val="en-US" w:eastAsia="zh-CN"/>
              </w:rPr>
            </w:pPr>
            <w:r>
              <w:rPr>
                <w:rFonts w:hint="eastAsia"/>
                <w:color w:val="000000"/>
                <w:kern w:val="0"/>
                <w:sz w:val="22"/>
                <w:szCs w:val="22"/>
                <w:lang w:val="en-US" w:eastAsia="zh-CN"/>
              </w:rPr>
              <w:t>天津-湛江200吨</w:t>
            </w:r>
          </w:p>
        </w:tc>
        <w:tc>
          <w:tcPr>
            <w:tcW w:w="1250" w:type="pct"/>
            <w:tcBorders>
              <w:top w:val="nil"/>
              <w:left w:val="nil"/>
              <w:bottom w:val="single" w:color="auto" w:sz="4" w:space="0"/>
              <w:right w:val="single" w:color="auto" w:sz="4" w:space="0"/>
            </w:tcBorders>
            <w:noWrap/>
            <w:vAlign w:val="center"/>
          </w:tcPr>
          <w:p w14:paraId="5969D369">
            <w:pPr>
              <w:widowControl/>
              <w:jc w:val="both"/>
              <w:rPr>
                <w:color w:val="000000"/>
                <w:kern w:val="0"/>
                <w:sz w:val="22"/>
                <w:szCs w:val="22"/>
              </w:rPr>
            </w:pPr>
          </w:p>
        </w:tc>
      </w:tr>
    </w:tbl>
    <w:p w14:paraId="2A0EC147">
      <w:pPr>
        <w:rPr>
          <w:rFonts w:hint="eastAsia"/>
          <w:lang w:val="en-US" w:eastAsia="zh-CN"/>
        </w:rPr>
      </w:pPr>
      <w:r>
        <w:rPr>
          <w:rFonts w:hint="eastAsia"/>
          <w:lang w:val="en-US" w:eastAsia="zh-CN"/>
        </w:rPr>
        <w:t>注：</w:t>
      </w:r>
    </w:p>
    <w:p w14:paraId="117380D2">
      <w:pPr>
        <w:rPr>
          <w:rFonts w:hint="default" w:eastAsia="宋体"/>
          <w:lang w:val="en-US" w:eastAsia="zh-CN"/>
        </w:rPr>
      </w:pPr>
      <w:r>
        <w:rPr>
          <w:rFonts w:hint="eastAsia"/>
          <w:lang w:val="en-US" w:eastAsia="zh-CN"/>
        </w:rPr>
        <w:t>湛江国联工厂地址：广东湛江吴川市黄坡镇（吴川）华昱产业转移工业园工业大道6号</w:t>
      </w:r>
    </w:p>
    <w:p w14:paraId="4960151F">
      <w:pPr>
        <w:rPr>
          <w:rFonts w:hint="default"/>
          <w:lang w:val="en-US" w:eastAsia="zh-CN"/>
        </w:rPr>
      </w:pPr>
      <w:r>
        <w:rPr>
          <w:rFonts w:hint="eastAsia"/>
          <w:lang w:val="en-US" w:eastAsia="zh-CN"/>
        </w:rPr>
        <w:t>湛江国美工厂地址：广东湛江吴川市广湛公路覃巴镇工业园</w:t>
      </w:r>
    </w:p>
    <w:p w14:paraId="368C5ADE">
      <w:pPr>
        <w:rPr>
          <w:rFonts w:hint="default" w:eastAsia="宋体"/>
          <w:lang w:val="en-US" w:eastAsia="zh-CN"/>
        </w:rPr>
      </w:pPr>
      <w:r>
        <w:rPr>
          <w:rFonts w:hint="eastAsia"/>
          <w:lang w:val="en-US" w:eastAsia="zh-CN"/>
        </w:rPr>
        <w:t>湖南益阳工厂地址：湖南省益阳市赫山区桃益路2号</w:t>
      </w:r>
    </w:p>
    <w:p w14:paraId="721F8642"/>
    <w:p w14:paraId="3D65B416">
      <w:pPr>
        <w:pStyle w:val="3"/>
      </w:pPr>
      <w:r>
        <w:t>1.5申请人资格要求</w:t>
      </w:r>
    </w:p>
    <w:p w14:paraId="3C69EA2F">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具有独立的法人资格，能独立承担民事责任；</w:t>
      </w:r>
    </w:p>
    <w:p w14:paraId="55AF3F5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560" w:firstLineChars="200"/>
        <w:textAlignment w:val="auto"/>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统一社会信用代码的营业执照的注册资金不得少于500万元，近两年每年营业额1000万元以上，资产负债率不高于</w:t>
      </w:r>
      <w:r>
        <w:rPr>
          <w:sz w:val="28"/>
          <w:szCs w:val="28"/>
          <w:highlight w:val="none"/>
        </w:rPr>
        <w:t>80%</w:t>
      </w:r>
      <w:r>
        <w:rPr>
          <w:color w:val="000000" w:themeColor="text1"/>
          <w:sz w:val="28"/>
          <w:szCs w:val="28"/>
          <w14:textFill>
            <w14:solidFill>
              <w14:schemeClr w14:val="tx1"/>
            </w14:solidFill>
          </w14:textFill>
        </w:rPr>
        <w:t>（央</w:t>
      </w:r>
      <w:r>
        <w:rPr>
          <w:sz w:val="28"/>
          <w:szCs w:val="28"/>
        </w:rPr>
        <w:t>企、省级以上国有大型企业及上市公司除外</w:t>
      </w:r>
      <w:r>
        <w:rPr>
          <w:rFonts w:hint="eastAsia"/>
          <w:sz w:val="28"/>
          <w:szCs w:val="28"/>
          <w:lang w:eastAsia="zh-CN"/>
        </w:rPr>
        <w:t>）</w:t>
      </w:r>
      <w:r>
        <w:rPr>
          <w:sz w:val="28"/>
          <w:szCs w:val="28"/>
        </w:rPr>
        <w:t>；</w:t>
      </w:r>
    </w:p>
    <w:p w14:paraId="782902A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sz w:val="28"/>
          <w:szCs w:val="28"/>
        </w:rPr>
        <w:t>一般纳税人，须开具增值税专用发票，发票税率要求为9%；</w:t>
      </w:r>
    </w:p>
    <w:p w14:paraId="713B745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sz w:val="28"/>
          <w:szCs w:val="28"/>
        </w:rPr>
        <w:t>具备从事冷链物流运输行业所必需的相关资质（含道路运输</w:t>
      </w:r>
      <w:r>
        <w:rPr>
          <w:rFonts w:hint="eastAsia"/>
          <w:sz w:val="28"/>
          <w:szCs w:val="28"/>
          <w:lang w:val="en-US" w:eastAsia="zh-CN"/>
        </w:rPr>
        <w:t>经营</w:t>
      </w:r>
      <w:r>
        <w:rPr>
          <w:sz w:val="28"/>
          <w:szCs w:val="28"/>
        </w:rPr>
        <w:t>许可证</w:t>
      </w:r>
      <w:r>
        <w:rPr>
          <w:rFonts w:hint="eastAsia"/>
          <w:sz w:val="28"/>
          <w:szCs w:val="28"/>
          <w:lang w:val="en-US" w:eastAsia="zh-CN"/>
        </w:rPr>
        <w:t>且适格冷链运输</w:t>
      </w:r>
      <w:r>
        <w:rPr>
          <w:sz w:val="28"/>
          <w:szCs w:val="28"/>
        </w:rPr>
        <w:t>）以及相应冷链运输能力、物流售后服务能力；</w:t>
      </w:r>
    </w:p>
    <w:p w14:paraId="061B715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sz w:val="28"/>
          <w:szCs w:val="28"/>
        </w:rPr>
        <w:t>具有良好的商业信誉和健全的财务会计制度，具有履行合同所必需的物资和专业技术能力；</w:t>
      </w:r>
    </w:p>
    <w:p w14:paraId="4F7859D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6</w:t>
      </w:r>
      <w:r>
        <w:rPr>
          <w:rFonts w:hint="eastAsia"/>
          <w:sz w:val="28"/>
          <w:szCs w:val="28"/>
          <w:lang w:eastAsia="zh-CN"/>
        </w:rPr>
        <w:t>）</w:t>
      </w:r>
      <w:r>
        <w:rPr>
          <w:sz w:val="28"/>
          <w:szCs w:val="28"/>
        </w:rPr>
        <w:t>近三年经营活动中无重大违法、违规记录</w:t>
      </w:r>
      <w:r>
        <w:rPr>
          <w:color w:val="000000" w:themeColor="text1"/>
          <w:sz w:val="28"/>
          <w:szCs w:val="28"/>
          <w:u w:val="none"/>
          <w14:textFill>
            <w14:solidFill>
              <w14:schemeClr w14:val="tx1"/>
            </w14:solidFill>
          </w14:textFill>
        </w:rPr>
        <w:t>和</w:t>
      </w:r>
      <w:r>
        <w:rPr>
          <w:rFonts w:hint="eastAsia"/>
          <w:color w:val="000000" w:themeColor="text1"/>
          <w:sz w:val="28"/>
          <w:szCs w:val="28"/>
          <w:u w:val="none"/>
          <w:lang w:val="en-US" w:eastAsia="zh-CN"/>
          <w14:textFill>
            <w14:solidFill>
              <w14:schemeClr w14:val="tx1"/>
            </w14:solidFill>
          </w14:textFill>
        </w:rPr>
        <w:t>被强制执行记录</w:t>
      </w:r>
      <w:r>
        <w:rPr>
          <w:sz w:val="28"/>
          <w:szCs w:val="28"/>
        </w:rPr>
        <w:t>（招标人将通过“企查查”、“天眼查”等相关平台参考信息），企业未被列入“经营异常名录信息”、“严重违法失信企业名单（黑名单）”；</w:t>
      </w:r>
    </w:p>
    <w:p w14:paraId="436CE48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7</w:t>
      </w:r>
      <w:r>
        <w:rPr>
          <w:rFonts w:hint="eastAsia"/>
          <w:sz w:val="28"/>
          <w:szCs w:val="28"/>
          <w:lang w:eastAsia="zh-CN"/>
        </w:rPr>
        <w:t>）</w:t>
      </w:r>
      <w:r>
        <w:rPr>
          <w:sz w:val="28"/>
          <w:szCs w:val="28"/>
        </w:rPr>
        <w:t>投标商必须提交相关企业征信报告；</w:t>
      </w:r>
    </w:p>
    <w:p w14:paraId="01FC9AB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8</w:t>
      </w:r>
      <w:r>
        <w:rPr>
          <w:rFonts w:hint="eastAsia"/>
          <w:sz w:val="28"/>
          <w:szCs w:val="28"/>
          <w:lang w:eastAsia="zh-CN"/>
        </w:rPr>
        <w:t>）</w:t>
      </w:r>
      <w:r>
        <w:rPr>
          <w:sz w:val="28"/>
          <w:szCs w:val="28"/>
        </w:rPr>
        <w:t>如在过往与国联水产集团合作过程中，被列入黑名单（包括不限于中标后不履约、涉及廉政或者在合作中曾出现重大的运输事故）的企业，不得参与报名；</w:t>
      </w:r>
    </w:p>
    <w:p w14:paraId="589A697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9</w:t>
      </w:r>
      <w:r>
        <w:rPr>
          <w:rFonts w:hint="eastAsia"/>
          <w:sz w:val="28"/>
          <w:szCs w:val="28"/>
          <w:lang w:eastAsia="zh-CN"/>
        </w:rPr>
        <w:t>）</w:t>
      </w:r>
      <w:r>
        <w:rPr>
          <w:sz w:val="28"/>
          <w:szCs w:val="28"/>
        </w:rPr>
        <w:t>具备GPS自有推送系统，可将车辆的实时信息推送到</w:t>
      </w:r>
      <w:r>
        <w:rPr>
          <w:rFonts w:hint="eastAsia"/>
          <w:sz w:val="28"/>
          <w:szCs w:val="28"/>
        </w:rPr>
        <w:t>招标人及招标人关联公司的平台</w:t>
      </w:r>
      <w:r>
        <w:rPr>
          <w:sz w:val="28"/>
          <w:szCs w:val="28"/>
        </w:rPr>
        <w:t>；</w:t>
      </w:r>
    </w:p>
    <w:p w14:paraId="6F6DBA3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10</w:t>
      </w:r>
      <w:r>
        <w:rPr>
          <w:rFonts w:hint="eastAsia"/>
          <w:sz w:val="28"/>
          <w:szCs w:val="28"/>
          <w:lang w:eastAsia="zh-CN"/>
        </w:rPr>
        <w:t>）</w:t>
      </w:r>
      <w:r>
        <w:rPr>
          <w:sz w:val="28"/>
          <w:szCs w:val="28"/>
        </w:rPr>
        <w:t>本次招标不接受两家及以上承运商联合报名；</w:t>
      </w:r>
    </w:p>
    <w:p w14:paraId="0BA415D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color w:val="FF0000"/>
          <w:sz w:val="28"/>
          <w:szCs w:val="28"/>
        </w:rPr>
      </w:pPr>
      <w:r>
        <w:rPr>
          <w:rFonts w:hint="eastAsia"/>
          <w:sz w:val="28"/>
          <w:szCs w:val="28"/>
          <w:lang w:eastAsia="zh-CN"/>
        </w:rPr>
        <w:t>（</w:t>
      </w:r>
      <w:r>
        <w:rPr>
          <w:rFonts w:hint="eastAsia"/>
          <w:sz w:val="28"/>
          <w:szCs w:val="28"/>
          <w:lang w:val="en-US" w:eastAsia="zh-CN"/>
        </w:rPr>
        <w:t>11</w:t>
      </w:r>
      <w:r>
        <w:rPr>
          <w:rFonts w:hint="eastAsia"/>
          <w:sz w:val="28"/>
          <w:szCs w:val="28"/>
          <w:lang w:eastAsia="zh-CN"/>
        </w:rPr>
        <w:t>）</w:t>
      </w:r>
      <w:r>
        <w:rPr>
          <w:rFonts w:hint="eastAsia"/>
          <w:color w:val="000000" w:themeColor="text1"/>
          <w:sz w:val="28"/>
          <w:szCs w:val="28"/>
          <w:lang w:val="en-US" w:eastAsia="zh-CN"/>
          <w14:textFill>
            <w14:solidFill>
              <w14:schemeClr w14:val="tx1"/>
            </w14:solidFill>
          </w14:textFill>
        </w:rPr>
        <w:t>投标商用于</w:t>
      </w:r>
      <w:r>
        <w:rPr>
          <w:color w:val="000000" w:themeColor="text1"/>
          <w:sz w:val="28"/>
          <w:szCs w:val="28"/>
          <w14:textFill>
            <w14:solidFill>
              <w14:schemeClr w14:val="tx1"/>
            </w14:solidFill>
          </w14:textFill>
        </w:rPr>
        <w:t>承运招标方货物的车辆</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须满足以下条件</w:t>
      </w:r>
      <w:r>
        <w:rPr>
          <w:color w:val="000000" w:themeColor="text1"/>
          <w:sz w:val="28"/>
          <w:szCs w:val="28"/>
          <w14:textFill>
            <w14:solidFill>
              <w14:schemeClr w14:val="tx1"/>
            </w14:solidFill>
          </w14:textFill>
        </w:rPr>
        <w:t>：</w:t>
      </w:r>
    </w:p>
    <w:p w14:paraId="05CE28F1">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sz w:val="28"/>
          <w:szCs w:val="28"/>
        </w:rPr>
      </w:pPr>
      <w:r>
        <w:rPr>
          <w:sz w:val="28"/>
          <w:szCs w:val="28"/>
        </w:rPr>
        <w:t>自有冷藏货车</w:t>
      </w:r>
      <w:r>
        <w:rPr>
          <w:rFonts w:hint="eastAsia"/>
          <w:sz w:val="28"/>
          <w:szCs w:val="28"/>
          <w:highlight w:val="none"/>
          <w:lang w:val="en-US" w:eastAsia="zh-CN"/>
        </w:rPr>
        <w:t>3</w:t>
      </w:r>
      <w:r>
        <w:rPr>
          <w:sz w:val="28"/>
          <w:szCs w:val="28"/>
        </w:rPr>
        <w:t>台以上；</w:t>
      </w:r>
    </w:p>
    <w:p w14:paraId="5EF18C59">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sz w:val="28"/>
          <w:szCs w:val="28"/>
        </w:rPr>
      </w:pPr>
      <w:r>
        <w:rPr>
          <w:sz w:val="28"/>
          <w:szCs w:val="28"/>
        </w:rPr>
        <w:t>须具备有效的行驶证、养路费缴纳凭证、车辆保险、货物保险、责任保险、车辆营运证等合法证件，符合《中华人民共和国道路交通安全法》的各项有关规定；</w:t>
      </w:r>
    </w:p>
    <w:p w14:paraId="10B5224F">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sz w:val="28"/>
          <w:szCs w:val="28"/>
        </w:rPr>
      </w:pPr>
      <w:r>
        <w:rPr>
          <w:sz w:val="28"/>
          <w:szCs w:val="28"/>
        </w:rPr>
        <w:t>具有全封闭的厢式冷藏货车/集装箱，全程制冷，货箱内在途温度不得高于-18℃（普货运输或招标方特别说明有其他要求的除外）；</w:t>
      </w:r>
    </w:p>
    <w:p w14:paraId="224C25C3">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sz w:val="28"/>
          <w:szCs w:val="28"/>
        </w:rPr>
      </w:pPr>
      <w:r>
        <w:rPr>
          <w:sz w:val="28"/>
          <w:szCs w:val="28"/>
        </w:rPr>
        <w:t>满足完成承运义务的现实需要，车厢清洁、无异味，厢内无污染、无损坏甲方货物的其他物品等；</w:t>
      </w:r>
      <w:r>
        <w:rPr>
          <w:color w:val="000000" w:themeColor="text1"/>
          <w:sz w:val="28"/>
          <w:szCs w:val="28"/>
          <w14:textFill>
            <w14:solidFill>
              <w14:schemeClr w14:val="tx1"/>
            </w14:solidFill>
          </w14:textFill>
        </w:rPr>
        <w:t>运输车辆应具备良好的密封性，防止外界污染物进入，避免水产品受到污染</w:t>
      </w:r>
      <w:r>
        <w:rPr>
          <w:rFonts w:hint="eastAsia"/>
          <w:color w:val="000000" w:themeColor="text1"/>
          <w:sz w:val="28"/>
          <w:szCs w:val="28"/>
          <w:lang w:eastAsia="zh-CN"/>
          <w14:textFill>
            <w14:solidFill>
              <w14:schemeClr w14:val="tx1"/>
            </w14:solidFill>
          </w14:textFill>
        </w:rPr>
        <w:t>；</w:t>
      </w:r>
    </w:p>
    <w:p w14:paraId="1F1F3419">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有明确的内部车辆运管操作流程和管理制度。</w:t>
      </w:r>
    </w:p>
    <w:p w14:paraId="3EE613F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eastAsia="zh-CN"/>
        </w:rPr>
        <w:t>（</w:t>
      </w:r>
      <w:r>
        <w:rPr>
          <w:rFonts w:hint="eastAsia"/>
          <w:sz w:val="28"/>
          <w:szCs w:val="28"/>
          <w:lang w:val="en-US" w:eastAsia="zh-CN"/>
        </w:rPr>
        <w:t>12</w:t>
      </w:r>
      <w:r>
        <w:rPr>
          <w:rFonts w:hint="eastAsia"/>
          <w:sz w:val="28"/>
          <w:szCs w:val="28"/>
          <w:lang w:eastAsia="zh-CN"/>
        </w:rPr>
        <w:t>）</w:t>
      </w:r>
      <w:r>
        <w:rPr>
          <w:sz w:val="28"/>
          <w:szCs w:val="28"/>
        </w:rPr>
        <w:t>同意缴纳投标保证金10万元</w:t>
      </w:r>
      <w:r>
        <w:rPr>
          <w:rFonts w:hint="eastAsia"/>
          <w:sz w:val="28"/>
          <w:szCs w:val="28"/>
          <w:lang w:eastAsia="zh-CN"/>
        </w:rPr>
        <w:t>（</w:t>
      </w:r>
      <w:r>
        <w:rPr>
          <w:rFonts w:hint="eastAsia"/>
          <w:color w:val="000000" w:themeColor="text1"/>
          <w:sz w:val="28"/>
          <w:szCs w:val="28"/>
          <w:lang w:val="en-US" w:eastAsia="zh-CN"/>
          <w14:textFill>
            <w14:solidFill>
              <w14:schemeClr w14:val="tx1"/>
            </w14:solidFill>
          </w14:textFill>
        </w:rPr>
        <w:t>履约保证金按合同约定</w:t>
      </w:r>
      <w:r>
        <w:rPr>
          <w:rFonts w:hint="eastAsia"/>
          <w:sz w:val="28"/>
          <w:szCs w:val="28"/>
          <w:lang w:eastAsia="zh-CN"/>
        </w:rPr>
        <w:t>）</w:t>
      </w:r>
      <w:r>
        <w:rPr>
          <w:sz w:val="28"/>
          <w:szCs w:val="28"/>
        </w:rPr>
        <w:t>；后期招标人会根据招标结果进行如下处理：</w:t>
      </w:r>
    </w:p>
    <w:p w14:paraId="06825A7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sz w:val="28"/>
          <w:szCs w:val="28"/>
        </w:rPr>
      </w:pPr>
      <w:r>
        <w:rPr>
          <w:rFonts w:hint="eastAsia" w:ascii="宋体" w:hAnsi="宋体" w:cs="宋体"/>
          <w:sz w:val="28"/>
          <w:szCs w:val="28"/>
        </w:rPr>
        <w:t>①中标人按要求签署合同协议后，其投标保证金将全部计入履约保证金（按合同约定）</w:t>
      </w:r>
      <w:r>
        <w:rPr>
          <w:rFonts w:hint="eastAsia" w:ascii="宋体" w:hAnsi="宋体" w:cs="宋体"/>
          <w:sz w:val="28"/>
          <w:szCs w:val="28"/>
          <w:lang w:eastAsia="zh-CN"/>
        </w:rPr>
        <w:t>，</w:t>
      </w:r>
      <w:r>
        <w:rPr>
          <w:rFonts w:hint="eastAsia" w:ascii="宋体" w:hAnsi="宋体" w:cs="宋体"/>
          <w:color w:val="000000" w:themeColor="text1"/>
          <w:sz w:val="28"/>
          <w:szCs w:val="28"/>
          <w:lang w:eastAsia="zh-CN"/>
          <w14:textFill>
            <w14:solidFill>
              <w14:schemeClr w14:val="tx1"/>
            </w14:solidFill>
          </w14:textFill>
        </w:rPr>
        <w:t>合同期</w:t>
      </w:r>
      <w:r>
        <w:rPr>
          <w:rFonts w:hint="eastAsia" w:ascii="宋体" w:hAnsi="宋体" w:cs="宋体"/>
          <w:color w:val="000000" w:themeColor="text1"/>
          <w:sz w:val="28"/>
          <w:szCs w:val="28"/>
          <w:lang w:val="en-US" w:eastAsia="zh-CN"/>
          <w14:textFill>
            <w14:solidFill>
              <w14:schemeClr w14:val="tx1"/>
            </w14:solidFill>
          </w14:textFill>
        </w:rPr>
        <w:t>期满后</w:t>
      </w:r>
      <w:r>
        <w:rPr>
          <w:rFonts w:hint="eastAsia" w:ascii="宋体" w:hAnsi="宋体" w:cs="宋体"/>
          <w:color w:val="000000" w:themeColor="text1"/>
          <w:sz w:val="28"/>
          <w:szCs w:val="28"/>
          <w:lang w:eastAsia="zh-CN"/>
          <w14:textFill>
            <w14:solidFill>
              <w14:schemeClr w14:val="tx1"/>
            </w14:solidFill>
          </w14:textFill>
        </w:rPr>
        <w:t>全部无息</w:t>
      </w:r>
      <w:r>
        <w:rPr>
          <w:rFonts w:hint="eastAsia" w:ascii="宋体" w:hAnsi="宋体" w:cs="宋体"/>
          <w:color w:val="000000" w:themeColor="text1"/>
          <w:sz w:val="28"/>
          <w:szCs w:val="28"/>
          <w:lang w:val="en-US" w:eastAsia="zh-CN"/>
          <w14:textFill>
            <w14:solidFill>
              <w14:schemeClr w14:val="tx1"/>
            </w14:solidFill>
          </w14:textFill>
        </w:rPr>
        <w:t>返还；</w:t>
      </w:r>
    </w:p>
    <w:p w14:paraId="5AD2AEA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②未中标企业的投标保证金，将在定标后15日内全部无息退还到投标方汇出账号</w:t>
      </w:r>
      <w:r>
        <w:rPr>
          <w:rFonts w:hint="eastAsia" w:ascii="宋体" w:hAnsi="宋体" w:cs="宋体"/>
          <w:sz w:val="28"/>
          <w:szCs w:val="28"/>
          <w:lang w:eastAsia="zh-CN"/>
        </w:rPr>
        <w:t>；</w:t>
      </w:r>
    </w:p>
    <w:p w14:paraId="42D7206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③投标人发生以下任一情形的，将被没收投标保证金：A、投标人在定标前撤回其投标文件</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B、中标人未能在规定期限内签署合同协议</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C、中标人拒绝按中标状态签订合同（即不按中标规定的线路和规模、质量、价格和期限等签订合同）的</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D、投标人在投标过程中（包括资格预审阶段），提供虚假信息或</w:t>
      </w:r>
      <w:r>
        <w:rPr>
          <w:rFonts w:hint="eastAsia" w:cs="Times New Roman"/>
          <w:sz w:val="28"/>
          <w:szCs w:val="28"/>
          <w:lang w:val="en-US" w:eastAsia="zh-CN"/>
        </w:rPr>
        <w:t>存在</w:t>
      </w:r>
      <w:r>
        <w:rPr>
          <w:rFonts w:hint="default" w:ascii="Times New Roman" w:hAnsi="Times New Roman" w:eastAsia="宋体" w:cs="Times New Roman"/>
          <w:sz w:val="28"/>
          <w:szCs w:val="28"/>
        </w:rPr>
        <w:t>串标、围标、陪标、以</w:t>
      </w:r>
      <w:r>
        <w:rPr>
          <w:rFonts w:hint="eastAsia" w:cs="Times New Roman"/>
          <w:sz w:val="28"/>
          <w:szCs w:val="28"/>
          <w:lang w:val="en-US" w:eastAsia="zh-CN"/>
        </w:rPr>
        <w:t>及利用</w:t>
      </w:r>
      <w:r>
        <w:rPr>
          <w:rFonts w:hint="default" w:ascii="Times New Roman" w:hAnsi="Times New Roman" w:eastAsia="宋体" w:cs="Times New Roman"/>
          <w:sz w:val="28"/>
          <w:szCs w:val="28"/>
        </w:rPr>
        <w:t>行贿等不正当手段谋取中标等违法违纪行为的。</w:t>
      </w:r>
    </w:p>
    <w:p w14:paraId="477B472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28"/>
          <w:lang w:val="en-US" w:eastAsia="zh-CN"/>
        </w:rPr>
      </w:pPr>
      <w:r>
        <w:rPr>
          <w:rFonts w:hint="eastAsia" w:cs="Times New Roman"/>
          <w:sz w:val="28"/>
          <w:szCs w:val="28"/>
          <w:lang w:eastAsia="zh-CN"/>
        </w:rPr>
        <w:t>（</w:t>
      </w:r>
      <w:r>
        <w:rPr>
          <w:rFonts w:hint="eastAsia" w:cs="Times New Roman"/>
          <w:sz w:val="28"/>
          <w:szCs w:val="28"/>
          <w:lang w:val="en-US" w:eastAsia="zh-CN"/>
        </w:rPr>
        <w:t>13</w:t>
      </w:r>
      <w:r>
        <w:rPr>
          <w:rFonts w:hint="eastAsia" w:cs="Times New Roman"/>
          <w:sz w:val="28"/>
          <w:szCs w:val="28"/>
          <w:lang w:eastAsia="zh-CN"/>
        </w:rPr>
        <w:t>）</w:t>
      </w:r>
      <w:r>
        <w:rPr>
          <w:rFonts w:hint="eastAsia" w:cs="Times New Roman"/>
          <w:sz w:val="28"/>
          <w:szCs w:val="28"/>
          <w:lang w:val="en-US" w:eastAsia="zh-CN"/>
        </w:rPr>
        <w:t>运营资金要求：项目账期为业务发生当月完结后到付款结账时间3个月（例：2025年1月发生业务产生的运费最迟在2025年4月30日之前付清，以此类推）；</w:t>
      </w:r>
    </w:p>
    <w:p w14:paraId="0E75A2B1">
      <w:pPr>
        <w:pStyle w:val="3"/>
      </w:pPr>
      <w:r>
        <w:t>1.6费用承担</w:t>
      </w:r>
    </w:p>
    <w:p w14:paraId="4FCDC7BA">
      <w:pPr>
        <w:spacing w:line="240" w:lineRule="atLeast"/>
        <w:ind w:firstLine="560" w:firstLineChars="200"/>
        <w:rPr>
          <w:sz w:val="28"/>
          <w:szCs w:val="28"/>
        </w:rPr>
      </w:pPr>
      <w:r>
        <w:rPr>
          <w:color w:val="000000" w:themeColor="text1"/>
          <w:sz w:val="28"/>
          <w:szCs w:val="28"/>
          <w14:textFill>
            <w14:solidFill>
              <w14:schemeClr w14:val="tx1"/>
            </w14:solidFill>
          </w14:textFill>
        </w:rPr>
        <w:t>申请人</w:t>
      </w:r>
      <w:r>
        <w:rPr>
          <w:rFonts w:hint="eastAsia"/>
          <w:color w:val="000000" w:themeColor="text1"/>
          <w:sz w:val="28"/>
          <w:szCs w:val="28"/>
          <w:lang w:val="en-US" w:eastAsia="zh-CN"/>
          <w14:textFill>
            <w14:solidFill>
              <w14:schemeClr w14:val="tx1"/>
            </w14:solidFill>
          </w14:textFill>
        </w:rPr>
        <w:t>因</w:t>
      </w:r>
      <w:r>
        <w:rPr>
          <w:color w:val="000000" w:themeColor="text1"/>
          <w:sz w:val="28"/>
          <w:szCs w:val="28"/>
          <w14:textFill>
            <w14:solidFill>
              <w14:schemeClr w14:val="tx1"/>
            </w14:solidFill>
          </w14:textFill>
        </w:rPr>
        <w:t>准备</w:t>
      </w:r>
      <w:r>
        <w:rPr>
          <w:rFonts w:hint="eastAsia"/>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t>参加资格预审</w:t>
      </w:r>
      <w:r>
        <w:rPr>
          <w:rFonts w:hint="eastAsia"/>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t>投标</w:t>
      </w:r>
      <w:r>
        <w:rPr>
          <w:rFonts w:hint="eastAsia"/>
          <w:color w:val="000000" w:themeColor="text1"/>
          <w:sz w:val="28"/>
          <w:szCs w:val="28"/>
          <w:lang w:val="en-US" w:eastAsia="zh-CN"/>
          <w14:textFill>
            <w14:solidFill>
              <w14:schemeClr w14:val="tx1"/>
            </w14:solidFill>
          </w14:textFill>
        </w:rPr>
        <w:t>等事项产生</w:t>
      </w:r>
      <w:r>
        <w:rPr>
          <w:color w:val="000000" w:themeColor="text1"/>
          <w:sz w:val="28"/>
          <w:szCs w:val="28"/>
          <w14:textFill>
            <w14:solidFill>
              <w14:schemeClr w14:val="tx1"/>
            </w14:solidFill>
          </w14:textFill>
        </w:rPr>
        <w:t>的</w:t>
      </w:r>
      <w:r>
        <w:rPr>
          <w:rFonts w:hint="eastAsia"/>
          <w:color w:val="000000" w:themeColor="text1"/>
          <w:sz w:val="28"/>
          <w:szCs w:val="28"/>
          <w:lang w:val="en-US" w:eastAsia="zh-CN"/>
          <w14:textFill>
            <w14:solidFill>
              <w14:schemeClr w14:val="tx1"/>
            </w14:solidFill>
          </w14:textFill>
        </w:rPr>
        <w:t>一切</w:t>
      </w:r>
      <w:r>
        <w:rPr>
          <w:color w:val="000000" w:themeColor="text1"/>
          <w:sz w:val="28"/>
          <w:szCs w:val="28"/>
          <w14:textFill>
            <w14:solidFill>
              <w14:schemeClr w14:val="tx1"/>
            </w14:solidFill>
          </w14:textFill>
        </w:rPr>
        <w:t>费用</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由投标人自行承担</w:t>
      </w:r>
      <w:r>
        <w:rPr>
          <w:color w:val="000000" w:themeColor="text1"/>
          <w:sz w:val="28"/>
          <w:szCs w:val="28"/>
          <w14:textFill>
            <w14:solidFill>
              <w14:schemeClr w14:val="tx1"/>
            </w14:solidFill>
          </w14:textFill>
        </w:rPr>
        <w:t>。</w:t>
      </w:r>
    </w:p>
    <w:p w14:paraId="173B2075">
      <w:pPr>
        <w:pStyle w:val="2"/>
      </w:pPr>
      <w:r>
        <w:t>二、招标资格预审文件</w:t>
      </w:r>
    </w:p>
    <w:p w14:paraId="1286E4D4">
      <w:pPr>
        <w:pStyle w:val="3"/>
      </w:pPr>
      <w:r>
        <w:t>2.1资格预审文件的组成</w:t>
      </w:r>
    </w:p>
    <w:p w14:paraId="672F7708">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1</w:t>
      </w:r>
      <w:r>
        <w:rPr>
          <w:rFonts w:hint="eastAsia"/>
          <w:color w:val="000000"/>
          <w:sz w:val="28"/>
          <w:szCs w:val="28"/>
          <w:lang w:eastAsia="zh-CN"/>
        </w:rPr>
        <w:t>）</w:t>
      </w:r>
      <w:r>
        <w:rPr>
          <w:color w:val="000000"/>
          <w:sz w:val="28"/>
          <w:szCs w:val="28"/>
        </w:rPr>
        <w:t>资格预审文件由</w:t>
      </w:r>
      <w:r>
        <w:rPr>
          <w:rFonts w:hint="eastAsia"/>
          <w:color w:val="000000"/>
          <w:sz w:val="28"/>
          <w:szCs w:val="28"/>
          <w:lang w:val="en-US" w:eastAsia="zh-CN"/>
        </w:rPr>
        <w:t>申请人资格要求、</w:t>
      </w:r>
      <w:r>
        <w:rPr>
          <w:color w:val="000000"/>
          <w:sz w:val="28"/>
          <w:szCs w:val="28"/>
        </w:rPr>
        <w:t>项目概况、资格审查办法</w:t>
      </w:r>
      <w:r>
        <w:rPr>
          <w:rFonts w:hint="eastAsia"/>
          <w:color w:val="000000" w:themeColor="text1"/>
          <w:sz w:val="28"/>
          <w:szCs w:val="28"/>
          <w:lang w:val="en-US" w:eastAsia="zh-CN"/>
          <w14:textFill>
            <w14:solidFill>
              <w14:schemeClr w14:val="tx1"/>
            </w14:solidFill>
          </w14:textFill>
        </w:rPr>
        <w:t>、资格预审申请文件</w:t>
      </w:r>
      <w:r>
        <w:rPr>
          <w:color w:val="000000"/>
          <w:sz w:val="28"/>
          <w:szCs w:val="28"/>
        </w:rPr>
        <w:t>以及资格预审文件的澄清和修改文件</w:t>
      </w:r>
      <w:r>
        <w:rPr>
          <w:rFonts w:hint="eastAsia"/>
          <w:color w:val="000000"/>
          <w:sz w:val="28"/>
          <w:szCs w:val="28"/>
          <w:lang w:val="en-US" w:eastAsia="zh-CN"/>
        </w:rPr>
        <w:t>等</w:t>
      </w:r>
      <w:r>
        <w:rPr>
          <w:color w:val="000000"/>
          <w:sz w:val="28"/>
          <w:szCs w:val="28"/>
        </w:rPr>
        <w:t>组成。</w:t>
      </w:r>
    </w:p>
    <w:p w14:paraId="3AC6D1B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2）</w:t>
      </w:r>
      <w:r>
        <w:rPr>
          <w:color w:val="000000"/>
          <w:sz w:val="28"/>
          <w:szCs w:val="28"/>
        </w:rPr>
        <w:t>当资格预审文件、资格预审文件的澄清或修改等在同一内容的表述上不一致时，以最后发出的</w:t>
      </w:r>
      <w:r>
        <w:rPr>
          <w:rFonts w:hint="eastAsia"/>
          <w:color w:val="000000"/>
          <w:sz w:val="28"/>
          <w:szCs w:val="28"/>
          <w:lang w:val="en-US" w:eastAsia="zh-CN"/>
        </w:rPr>
        <w:t>电子版</w:t>
      </w:r>
      <w:r>
        <w:rPr>
          <w:color w:val="000000"/>
          <w:sz w:val="28"/>
          <w:szCs w:val="28"/>
        </w:rPr>
        <w:t>文件</w:t>
      </w:r>
      <w:r>
        <w:rPr>
          <w:rFonts w:hint="eastAsia"/>
          <w:color w:val="000000"/>
          <w:sz w:val="28"/>
          <w:szCs w:val="28"/>
          <w:lang w:eastAsia="zh-CN"/>
        </w:rPr>
        <w:t>（</w:t>
      </w:r>
      <w:r>
        <w:rPr>
          <w:rFonts w:hint="eastAsia"/>
          <w:color w:val="000000"/>
          <w:sz w:val="28"/>
          <w:szCs w:val="28"/>
          <w:lang w:val="en-US" w:eastAsia="zh-CN"/>
        </w:rPr>
        <w:t>PDF格式</w:t>
      </w:r>
      <w:r>
        <w:rPr>
          <w:rFonts w:hint="eastAsia"/>
          <w:color w:val="000000"/>
          <w:sz w:val="28"/>
          <w:szCs w:val="28"/>
          <w:lang w:eastAsia="zh-CN"/>
        </w:rPr>
        <w:t>）</w:t>
      </w:r>
      <w:r>
        <w:rPr>
          <w:color w:val="000000"/>
          <w:sz w:val="28"/>
          <w:szCs w:val="28"/>
        </w:rPr>
        <w:t>为准。</w:t>
      </w:r>
    </w:p>
    <w:p w14:paraId="10B9544C">
      <w:pPr>
        <w:pStyle w:val="3"/>
      </w:pPr>
      <w:r>
        <w:t>2.2资格预审文件的澄清</w:t>
      </w:r>
    </w:p>
    <w:p w14:paraId="4623F23B">
      <w:pPr>
        <w:ind w:firstLine="560" w:firstLineChars="200"/>
        <w:jc w:val="left"/>
        <w:rPr>
          <w:color w:val="000000"/>
          <w:sz w:val="28"/>
          <w:szCs w:val="28"/>
        </w:rPr>
      </w:pPr>
      <w:r>
        <w:rPr>
          <w:rFonts w:hint="eastAsia"/>
          <w:color w:val="000000"/>
          <w:sz w:val="28"/>
          <w:szCs w:val="28"/>
        </w:rPr>
        <w:t>申请人应仔细阅读和检查资格预审文件的全部内容，如有疑问，应于取得资格预审文件后2日内以邮件</w:t>
      </w:r>
      <w:r>
        <w:rPr>
          <w:rFonts w:hint="eastAsia"/>
          <w:color w:val="000000"/>
          <w:sz w:val="28"/>
          <w:szCs w:val="28"/>
          <w:lang w:val="en-US" w:eastAsia="zh-CN"/>
        </w:rPr>
        <w:t>的</w:t>
      </w:r>
      <w:r>
        <w:rPr>
          <w:rFonts w:hint="eastAsia"/>
          <w:color w:val="000000"/>
          <w:sz w:val="28"/>
          <w:szCs w:val="28"/>
        </w:rPr>
        <w:t>形式</w:t>
      </w:r>
      <w:r>
        <w:rPr>
          <w:rFonts w:hint="eastAsia"/>
          <w:color w:val="000000"/>
          <w:sz w:val="28"/>
          <w:szCs w:val="28"/>
          <w:highlight w:val="none"/>
          <w:lang w:eastAsia="zh-CN"/>
        </w:rPr>
        <w:t>（</w:t>
      </w:r>
      <w:r>
        <w:rPr>
          <w:rFonts w:hint="eastAsia"/>
          <w:color w:val="000000"/>
          <w:sz w:val="28"/>
          <w:szCs w:val="28"/>
          <w:highlight w:val="none"/>
          <w:lang w:val="en-US" w:eastAsia="zh-CN"/>
        </w:rPr>
        <w:t>glwlzb@guolian.cn</w:t>
      </w:r>
      <w:r>
        <w:rPr>
          <w:rFonts w:hint="eastAsia"/>
          <w:color w:val="000000"/>
          <w:sz w:val="28"/>
          <w:szCs w:val="28"/>
          <w:highlight w:val="none"/>
          <w:lang w:eastAsia="zh-CN"/>
        </w:rPr>
        <w:t>）</w:t>
      </w:r>
      <w:r>
        <w:rPr>
          <w:rFonts w:hint="eastAsia"/>
          <w:color w:val="000000"/>
          <w:sz w:val="28"/>
          <w:szCs w:val="28"/>
        </w:rPr>
        <w:t>要求招标人对资格预审文件进行澄清，招标人将以邮件</w:t>
      </w:r>
      <w:r>
        <w:rPr>
          <w:rFonts w:hint="eastAsia"/>
          <w:color w:val="000000"/>
          <w:sz w:val="28"/>
          <w:szCs w:val="28"/>
          <w:lang w:val="en-US" w:eastAsia="zh-CN"/>
        </w:rPr>
        <w:t>的</w:t>
      </w:r>
      <w:r>
        <w:rPr>
          <w:rFonts w:hint="eastAsia"/>
          <w:color w:val="000000"/>
          <w:sz w:val="28"/>
          <w:szCs w:val="28"/>
        </w:rPr>
        <w:t>形式将澄清内容发给所有获取资格预审文件的申请人。</w:t>
      </w:r>
    </w:p>
    <w:p w14:paraId="479B5C3D">
      <w:pPr>
        <w:pStyle w:val="3"/>
      </w:pPr>
      <w:r>
        <w:t>2.3资格预审文件的修改</w:t>
      </w:r>
    </w:p>
    <w:p w14:paraId="45481979">
      <w:pPr>
        <w:pageBreakBefore w:val="0"/>
        <w:widowControl w:val="0"/>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color w:val="000000"/>
          <w:sz w:val="28"/>
          <w:szCs w:val="28"/>
        </w:rPr>
        <w:t>1</w:t>
      </w:r>
      <w:r>
        <w:rPr>
          <w:rFonts w:hint="eastAsia"/>
          <w:color w:val="000000"/>
          <w:sz w:val="28"/>
          <w:szCs w:val="28"/>
          <w:lang w:eastAsia="zh-CN"/>
        </w:rPr>
        <w:t>）</w:t>
      </w:r>
      <w:r>
        <w:rPr>
          <w:color w:val="000000"/>
          <w:sz w:val="28"/>
          <w:szCs w:val="28"/>
        </w:rPr>
        <w:t>在提交资格预审申请文件截止期前，招标人可以</w:t>
      </w:r>
      <w:r>
        <w:rPr>
          <w:rFonts w:hint="eastAsia"/>
          <w:color w:val="000000"/>
          <w:sz w:val="28"/>
          <w:szCs w:val="28"/>
          <w:lang w:val="en-US" w:eastAsia="zh-CN"/>
        </w:rPr>
        <w:t>通过</w:t>
      </w:r>
      <w:r>
        <w:rPr>
          <w:color w:val="000000"/>
          <w:sz w:val="28"/>
          <w:szCs w:val="28"/>
        </w:rPr>
        <w:t>邮件</w:t>
      </w:r>
      <w:r>
        <w:rPr>
          <w:rFonts w:hint="eastAsia"/>
          <w:color w:val="000000"/>
          <w:sz w:val="28"/>
          <w:szCs w:val="28"/>
          <w:lang w:val="en-US" w:eastAsia="zh-CN"/>
        </w:rPr>
        <w:t>的</w:t>
      </w:r>
      <w:r>
        <w:rPr>
          <w:color w:val="000000"/>
          <w:sz w:val="28"/>
          <w:szCs w:val="28"/>
        </w:rPr>
        <w:t>方式补充修改资格预审文件。</w:t>
      </w:r>
    </w:p>
    <w:p w14:paraId="12E0BE73">
      <w:pPr>
        <w:pageBreakBefore w:val="0"/>
        <w:widowControl w:val="0"/>
        <w:kinsoku/>
        <w:wordWrap/>
        <w:overflowPunct/>
        <w:topLinePunct w:val="0"/>
        <w:autoSpaceDE/>
        <w:autoSpaceDN/>
        <w:bidi w:val="0"/>
        <w:adjustRightInd/>
        <w:snapToGrid/>
        <w:ind w:left="0" w:leftChars="0" w:firstLine="560" w:firstLineChars="200"/>
        <w:jc w:val="left"/>
        <w:textAlignment w:val="auto"/>
        <w:rPr>
          <w:color w:val="000000"/>
          <w:sz w:val="28"/>
          <w:szCs w:val="28"/>
          <w:highlight w:val="none"/>
        </w:rPr>
      </w:pPr>
      <w:r>
        <w:rPr>
          <w:rFonts w:hint="eastAsia"/>
          <w:color w:val="000000"/>
          <w:sz w:val="28"/>
          <w:szCs w:val="28"/>
          <w:highlight w:val="none"/>
          <w:lang w:eastAsia="zh-CN"/>
        </w:rPr>
        <w:t>（</w:t>
      </w:r>
      <w:r>
        <w:rPr>
          <w:color w:val="000000"/>
          <w:sz w:val="28"/>
          <w:szCs w:val="28"/>
          <w:highlight w:val="none"/>
        </w:rPr>
        <w:t>2</w:t>
      </w:r>
      <w:r>
        <w:rPr>
          <w:rFonts w:hint="eastAsia"/>
          <w:color w:val="000000"/>
          <w:sz w:val="28"/>
          <w:szCs w:val="28"/>
          <w:highlight w:val="none"/>
          <w:lang w:eastAsia="zh-CN"/>
        </w:rPr>
        <w:t>）</w:t>
      </w:r>
      <w:r>
        <w:rPr>
          <w:rFonts w:hint="eastAsia"/>
          <w:color w:val="000000"/>
          <w:sz w:val="28"/>
          <w:szCs w:val="28"/>
          <w:highlight w:val="none"/>
        </w:rPr>
        <w:t>补充通知将以电子邮件</w:t>
      </w:r>
      <w:r>
        <w:rPr>
          <w:rFonts w:hint="eastAsia"/>
          <w:color w:val="000000"/>
          <w:sz w:val="28"/>
          <w:szCs w:val="28"/>
          <w:highlight w:val="none"/>
          <w:lang w:val="en-US" w:eastAsia="zh-CN"/>
        </w:rPr>
        <w:t>的</w:t>
      </w:r>
      <w:r>
        <w:rPr>
          <w:rFonts w:hint="eastAsia"/>
          <w:color w:val="000000"/>
          <w:sz w:val="28"/>
          <w:szCs w:val="28"/>
          <w:highlight w:val="none"/>
        </w:rPr>
        <w:t>方式发给所有获得资格预审文件的申请人，补充通知作为资格预审文件的组成部份，对申请人起约束作用。</w:t>
      </w:r>
    </w:p>
    <w:p w14:paraId="32519B20">
      <w:pPr>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color w:val="000000"/>
          <w:sz w:val="28"/>
          <w:szCs w:val="28"/>
          <w:lang w:eastAsia="zh-CN"/>
        </w:rPr>
      </w:pPr>
      <w:r>
        <w:rPr>
          <w:rFonts w:hint="eastAsia"/>
          <w:color w:val="000000"/>
          <w:sz w:val="28"/>
          <w:szCs w:val="28"/>
          <w:highlight w:val="none"/>
          <w:lang w:eastAsia="zh-CN"/>
        </w:rPr>
        <w:t>（</w:t>
      </w:r>
      <w:r>
        <w:rPr>
          <w:color w:val="000000"/>
          <w:sz w:val="28"/>
          <w:szCs w:val="28"/>
          <w:highlight w:val="none"/>
        </w:rPr>
        <w:t>3</w:t>
      </w:r>
      <w:r>
        <w:rPr>
          <w:rFonts w:hint="eastAsia"/>
          <w:color w:val="000000"/>
          <w:sz w:val="28"/>
          <w:szCs w:val="28"/>
          <w:highlight w:val="none"/>
          <w:lang w:eastAsia="zh-CN"/>
        </w:rPr>
        <w:t>）为使申请人在编制投标文件时把补充通知内容考虑进去，招标人可以酌情延长递交资格预审申请文件的截止日期。</w:t>
      </w:r>
    </w:p>
    <w:p w14:paraId="2F982B66">
      <w:pPr>
        <w:pageBreakBefore w:val="0"/>
        <w:widowControl w:val="0"/>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4</w:t>
      </w:r>
      <w:r>
        <w:rPr>
          <w:rFonts w:hint="eastAsia"/>
          <w:color w:val="000000"/>
          <w:sz w:val="28"/>
          <w:szCs w:val="28"/>
          <w:lang w:eastAsia="zh-CN"/>
        </w:rPr>
        <w:t>）</w:t>
      </w:r>
      <w:r>
        <w:rPr>
          <w:color w:val="000000"/>
          <w:sz w:val="28"/>
          <w:szCs w:val="28"/>
        </w:rPr>
        <w:t>除上述所列条款内容外，招标人的任何工作人员对申请人所作的任何口头解释、介绍、答复，只能供申请人参考，对申请人无任何约束力，招标人也不承担任何责任。</w:t>
      </w:r>
    </w:p>
    <w:p w14:paraId="4E8E1D4B">
      <w:pPr>
        <w:pStyle w:val="2"/>
        <w:pageBreakBefore w:val="0"/>
        <w:widowControl w:val="0"/>
        <w:kinsoku/>
        <w:wordWrap/>
        <w:overflowPunct/>
        <w:topLinePunct w:val="0"/>
        <w:autoSpaceDE/>
        <w:autoSpaceDN/>
        <w:bidi w:val="0"/>
        <w:adjustRightInd/>
        <w:snapToGrid/>
        <w:textAlignment w:val="auto"/>
      </w:pPr>
      <w:r>
        <w:t>三、资格预审申请文件的编制</w:t>
      </w:r>
    </w:p>
    <w:p w14:paraId="73CB9966">
      <w:pPr>
        <w:pStyle w:val="3"/>
        <w:pageBreakBefore w:val="0"/>
        <w:widowControl w:val="0"/>
        <w:kinsoku/>
        <w:wordWrap/>
        <w:overflowPunct/>
        <w:topLinePunct w:val="0"/>
        <w:autoSpaceDE/>
        <w:autoSpaceDN/>
        <w:bidi w:val="0"/>
        <w:adjustRightInd/>
        <w:snapToGrid/>
        <w:textAlignment w:val="auto"/>
      </w:pPr>
      <w:r>
        <w:t>3.1资格预审申请文件的组成</w:t>
      </w:r>
    </w:p>
    <w:p w14:paraId="00585132">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1</w:t>
      </w:r>
      <w:r>
        <w:rPr>
          <w:rFonts w:hint="eastAsia"/>
          <w:color w:val="000000"/>
          <w:sz w:val="28"/>
          <w:szCs w:val="28"/>
          <w:lang w:eastAsia="zh-CN"/>
        </w:rPr>
        <w:t>）</w:t>
      </w:r>
      <w:r>
        <w:rPr>
          <w:color w:val="000000"/>
          <w:sz w:val="28"/>
          <w:szCs w:val="28"/>
        </w:rPr>
        <w:t>资格预审申请函；</w:t>
      </w:r>
    </w:p>
    <w:p w14:paraId="09DC5CC6">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r>
        <w:rPr>
          <w:color w:val="000000"/>
          <w:sz w:val="28"/>
          <w:szCs w:val="28"/>
        </w:rPr>
        <w:t>法定代表人身份证明及法定代表人身份证正反面复印件；</w:t>
      </w:r>
    </w:p>
    <w:p w14:paraId="504678A6">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3</w:t>
      </w:r>
      <w:r>
        <w:rPr>
          <w:rFonts w:hint="eastAsia"/>
          <w:color w:val="000000"/>
          <w:sz w:val="28"/>
          <w:szCs w:val="28"/>
          <w:lang w:eastAsia="zh-CN"/>
        </w:rPr>
        <w:t>）</w:t>
      </w:r>
      <w:r>
        <w:rPr>
          <w:color w:val="000000"/>
          <w:sz w:val="28"/>
          <w:szCs w:val="28"/>
        </w:rPr>
        <w:t>授权委托书及被授权人身份证正反面复印件；</w:t>
      </w:r>
    </w:p>
    <w:p w14:paraId="33E357E6">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4</w:t>
      </w:r>
      <w:r>
        <w:rPr>
          <w:rFonts w:hint="eastAsia"/>
          <w:color w:val="000000"/>
          <w:sz w:val="28"/>
          <w:szCs w:val="28"/>
          <w:lang w:eastAsia="zh-CN"/>
        </w:rPr>
        <w:t>）</w:t>
      </w:r>
      <w:r>
        <w:rPr>
          <w:color w:val="000000"/>
          <w:sz w:val="28"/>
          <w:szCs w:val="28"/>
        </w:rPr>
        <w:t>申请人简介和业绩介绍；</w:t>
      </w:r>
    </w:p>
    <w:p w14:paraId="5EF5C14A">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5</w:t>
      </w:r>
      <w:r>
        <w:rPr>
          <w:rFonts w:hint="eastAsia"/>
          <w:color w:val="000000"/>
          <w:sz w:val="28"/>
          <w:szCs w:val="28"/>
          <w:lang w:eastAsia="zh-CN"/>
        </w:rPr>
        <w:t>）</w:t>
      </w:r>
      <w:r>
        <w:rPr>
          <w:color w:val="000000"/>
          <w:sz w:val="28"/>
          <w:szCs w:val="28"/>
        </w:rPr>
        <w:t>营业执照、道路</w:t>
      </w:r>
      <w:r>
        <w:rPr>
          <w:rFonts w:hint="eastAsia"/>
          <w:color w:val="000000"/>
          <w:sz w:val="28"/>
          <w:szCs w:val="28"/>
          <w:lang w:val="en-US" w:eastAsia="zh-CN"/>
        </w:rPr>
        <w:t>运输</w:t>
      </w:r>
      <w:r>
        <w:rPr>
          <w:color w:val="000000"/>
          <w:sz w:val="28"/>
          <w:szCs w:val="28"/>
        </w:rPr>
        <w:t>经营许可证、开户许可证（加盖公章）；</w:t>
      </w:r>
    </w:p>
    <w:p w14:paraId="2EF62531">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6</w:t>
      </w:r>
      <w:r>
        <w:rPr>
          <w:rFonts w:hint="eastAsia"/>
          <w:color w:val="000000"/>
          <w:sz w:val="28"/>
          <w:szCs w:val="28"/>
          <w:lang w:eastAsia="zh-CN"/>
        </w:rPr>
        <w:t>）</w:t>
      </w:r>
      <w:r>
        <w:rPr>
          <w:color w:val="000000"/>
          <w:sz w:val="28"/>
          <w:szCs w:val="28"/>
        </w:rPr>
        <w:t>一般纳税人资格证明（能提供运输增值税专用发票，</w:t>
      </w:r>
      <w:r>
        <w:rPr>
          <w:sz w:val="28"/>
          <w:szCs w:val="28"/>
        </w:rPr>
        <w:t>发票税率要求为9%</w:t>
      </w:r>
      <w:r>
        <w:rPr>
          <w:color w:val="000000"/>
          <w:sz w:val="28"/>
          <w:szCs w:val="28"/>
        </w:rPr>
        <w:t>）；</w:t>
      </w:r>
    </w:p>
    <w:p w14:paraId="30AA85C5">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7</w:t>
      </w:r>
      <w:r>
        <w:rPr>
          <w:rFonts w:hint="eastAsia"/>
          <w:color w:val="000000"/>
          <w:sz w:val="28"/>
          <w:szCs w:val="28"/>
          <w:lang w:eastAsia="zh-CN"/>
        </w:rPr>
        <w:t>）</w:t>
      </w:r>
      <w:r>
        <w:rPr>
          <w:color w:val="000000"/>
          <w:sz w:val="28"/>
          <w:szCs w:val="28"/>
        </w:rPr>
        <w:t>提供办公地点（经营场地）的产权证明或提供租赁合同及出租方的产权证明；</w:t>
      </w:r>
    </w:p>
    <w:p w14:paraId="1192D9D6">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8</w:t>
      </w:r>
      <w:r>
        <w:rPr>
          <w:rFonts w:hint="eastAsia"/>
          <w:color w:val="000000"/>
          <w:sz w:val="28"/>
          <w:szCs w:val="28"/>
          <w:lang w:eastAsia="zh-CN"/>
        </w:rPr>
        <w:t>）</w:t>
      </w:r>
      <w:r>
        <w:rPr>
          <w:color w:val="000000"/>
          <w:sz w:val="28"/>
          <w:szCs w:val="28"/>
        </w:rPr>
        <w:t>近两年</w:t>
      </w:r>
      <w:r>
        <w:rPr>
          <w:rFonts w:hint="eastAsia"/>
          <w:color w:val="000000"/>
          <w:sz w:val="28"/>
          <w:szCs w:val="28"/>
          <w:lang w:val="en-US" w:eastAsia="zh-CN"/>
        </w:rPr>
        <w:t>经审计后的</w:t>
      </w:r>
      <w:r>
        <w:rPr>
          <w:color w:val="000000"/>
          <w:sz w:val="28"/>
          <w:szCs w:val="28"/>
        </w:rPr>
        <w:t>（202</w:t>
      </w:r>
      <w:r>
        <w:rPr>
          <w:rFonts w:hint="eastAsia"/>
          <w:color w:val="000000"/>
          <w:sz w:val="28"/>
          <w:szCs w:val="28"/>
          <w:lang w:val="en-US" w:eastAsia="zh-CN"/>
        </w:rPr>
        <w:t>3</w:t>
      </w:r>
      <w:r>
        <w:rPr>
          <w:color w:val="000000"/>
          <w:sz w:val="28"/>
          <w:szCs w:val="28"/>
        </w:rPr>
        <w:t>年及202</w:t>
      </w:r>
      <w:r>
        <w:rPr>
          <w:rFonts w:hint="eastAsia"/>
          <w:color w:val="000000"/>
          <w:sz w:val="28"/>
          <w:szCs w:val="28"/>
          <w:lang w:val="en-US" w:eastAsia="zh-CN"/>
        </w:rPr>
        <w:t>4</w:t>
      </w:r>
      <w:r>
        <w:rPr>
          <w:color w:val="000000"/>
          <w:sz w:val="28"/>
          <w:szCs w:val="28"/>
        </w:rPr>
        <w:t>年）资产负债表、现金流量表及利润表；</w:t>
      </w:r>
    </w:p>
    <w:p w14:paraId="620C4D67">
      <w:pPr>
        <w:pageBreakBefore w:val="0"/>
        <w:widowControl w:val="0"/>
        <w:numPr>
          <w:ilvl w:val="0"/>
          <w:numId w:val="0"/>
        </w:numPr>
        <w:kinsoku/>
        <w:wordWrap/>
        <w:overflowPunct/>
        <w:topLinePunct w:val="0"/>
        <w:autoSpaceDE/>
        <w:autoSpaceDN/>
        <w:bidi w:val="0"/>
        <w:adjustRightInd/>
        <w:snapToGrid/>
        <w:ind w:left="0" w:leftChars="0" w:firstLine="600" w:firstLineChars="200"/>
        <w:jc w:val="left"/>
        <w:textAlignment w:val="auto"/>
        <w:rPr>
          <w:color w:val="000000"/>
          <w:sz w:val="28"/>
          <w:szCs w:val="28"/>
        </w:rPr>
      </w:pPr>
      <w:r>
        <w:rPr>
          <w:rFonts w:hint="eastAsia"/>
          <w:color w:val="000000"/>
          <w:sz w:val="30"/>
          <w:szCs w:val="30"/>
          <w:lang w:eastAsia="zh-CN"/>
        </w:rPr>
        <w:t>（</w:t>
      </w:r>
      <w:r>
        <w:rPr>
          <w:rFonts w:hint="eastAsia"/>
          <w:color w:val="000000"/>
          <w:sz w:val="30"/>
          <w:szCs w:val="30"/>
          <w:lang w:val="en-US" w:eastAsia="zh-CN"/>
        </w:rPr>
        <w:t>9</w:t>
      </w:r>
      <w:r>
        <w:rPr>
          <w:rFonts w:hint="eastAsia"/>
          <w:color w:val="000000"/>
          <w:sz w:val="30"/>
          <w:szCs w:val="30"/>
          <w:lang w:eastAsia="zh-CN"/>
        </w:rPr>
        <w:t>）</w:t>
      </w:r>
      <w:r>
        <w:rPr>
          <w:color w:val="000000"/>
          <w:sz w:val="30"/>
          <w:szCs w:val="30"/>
        </w:rPr>
        <w:t>用于承运招标人货物的</w:t>
      </w:r>
      <w:r>
        <w:rPr>
          <w:color w:val="000000"/>
          <w:sz w:val="28"/>
          <w:szCs w:val="28"/>
        </w:rPr>
        <w:t>自有车辆</w:t>
      </w:r>
      <w:r>
        <w:rPr>
          <w:rFonts w:hint="eastAsia"/>
          <w:color w:val="000000"/>
          <w:sz w:val="28"/>
          <w:szCs w:val="28"/>
          <w:lang w:val="en-US" w:eastAsia="zh-CN"/>
        </w:rPr>
        <w:t>登记证</w:t>
      </w:r>
      <w:r>
        <w:rPr>
          <w:color w:val="000000"/>
          <w:sz w:val="28"/>
          <w:szCs w:val="28"/>
        </w:rPr>
        <w:t>及合约车辆明细表，注明车型；</w:t>
      </w:r>
    </w:p>
    <w:p w14:paraId="2DBAEFFC">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10</w:t>
      </w:r>
      <w:r>
        <w:rPr>
          <w:rFonts w:hint="eastAsia"/>
          <w:color w:val="000000"/>
          <w:sz w:val="28"/>
          <w:szCs w:val="28"/>
          <w:lang w:eastAsia="zh-CN"/>
        </w:rPr>
        <w:t>）</w:t>
      </w:r>
      <w:r>
        <w:rPr>
          <w:color w:val="000000"/>
          <w:sz w:val="28"/>
          <w:szCs w:val="28"/>
        </w:rPr>
        <w:t>合作的客户明细，提供2-3个近半年合作客户的业务单/签回单（可隐藏客户敏感信息）；</w:t>
      </w:r>
    </w:p>
    <w:p w14:paraId="6A7733D8">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11</w:t>
      </w:r>
      <w:r>
        <w:rPr>
          <w:rFonts w:hint="eastAsia"/>
          <w:color w:val="000000"/>
          <w:sz w:val="28"/>
          <w:szCs w:val="28"/>
          <w:lang w:eastAsia="zh-CN"/>
        </w:rPr>
        <w:t>）</w:t>
      </w:r>
      <w:r>
        <w:rPr>
          <w:color w:val="000000"/>
          <w:sz w:val="28"/>
          <w:szCs w:val="28"/>
        </w:rPr>
        <w:t>提供至少2家主营客户满意调查表（对贵司的评价/打分，模板自拟）</w:t>
      </w:r>
      <w:r>
        <w:rPr>
          <w:rFonts w:hint="eastAsia"/>
          <w:color w:val="000000"/>
          <w:sz w:val="28"/>
          <w:szCs w:val="28"/>
        </w:rPr>
        <w:t>；</w:t>
      </w:r>
    </w:p>
    <w:p w14:paraId="3F5B6FF2">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color w:val="000000"/>
          <w:sz w:val="28"/>
          <w:szCs w:val="28"/>
        </w:rPr>
      </w:pPr>
      <w:r>
        <w:rPr>
          <w:rFonts w:hint="eastAsia"/>
          <w:color w:val="000000"/>
          <w:sz w:val="28"/>
          <w:szCs w:val="28"/>
          <w:lang w:eastAsia="zh-CN"/>
        </w:rPr>
        <w:t>（</w:t>
      </w:r>
      <w:r>
        <w:rPr>
          <w:rFonts w:hint="eastAsia"/>
          <w:color w:val="000000"/>
          <w:sz w:val="28"/>
          <w:szCs w:val="28"/>
          <w:lang w:val="en-US" w:eastAsia="zh-CN"/>
        </w:rPr>
        <w:t>12</w:t>
      </w:r>
      <w:r>
        <w:rPr>
          <w:rFonts w:hint="eastAsia"/>
          <w:color w:val="000000"/>
          <w:sz w:val="28"/>
          <w:szCs w:val="28"/>
          <w:lang w:eastAsia="zh-CN"/>
        </w:rPr>
        <w:t>）</w:t>
      </w:r>
      <w:r>
        <w:rPr>
          <w:color w:val="000000"/>
          <w:sz w:val="28"/>
          <w:szCs w:val="28"/>
        </w:rPr>
        <w:t>与保险公司签订的车辆保险或货物运输保险合同</w:t>
      </w:r>
      <w:r>
        <w:rPr>
          <w:rFonts w:hint="eastAsia"/>
          <w:color w:val="000000"/>
          <w:sz w:val="28"/>
          <w:szCs w:val="28"/>
          <w:lang w:eastAsia="zh-CN"/>
        </w:rPr>
        <w:t>（</w:t>
      </w:r>
      <w:r>
        <w:rPr>
          <w:rFonts w:hint="eastAsia"/>
          <w:color w:val="000000"/>
          <w:sz w:val="28"/>
          <w:szCs w:val="28"/>
          <w:lang w:val="en-US" w:eastAsia="zh-CN"/>
        </w:rPr>
        <w:t>适合冷链水产货物运输</w:t>
      </w:r>
      <w:r>
        <w:rPr>
          <w:rFonts w:hint="eastAsia"/>
          <w:color w:val="000000"/>
          <w:sz w:val="28"/>
          <w:szCs w:val="28"/>
          <w:lang w:eastAsia="zh-CN"/>
        </w:rPr>
        <w:t>）</w:t>
      </w:r>
      <w:r>
        <w:rPr>
          <w:color w:val="000000"/>
          <w:sz w:val="28"/>
          <w:szCs w:val="28"/>
        </w:rPr>
        <w:t>；</w:t>
      </w:r>
    </w:p>
    <w:p w14:paraId="7B9C36C7">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rFonts w:hint="eastAsia"/>
          <w:color w:val="000000" w:themeColor="text1"/>
          <w:sz w:val="28"/>
          <w:szCs w:val="28"/>
          <w14:textFill>
            <w14:solidFill>
              <w14:schemeClr w14:val="tx1"/>
            </w14:solidFill>
          </w14:textFill>
        </w:rPr>
      </w:pPr>
      <w:r>
        <w:rPr>
          <w:rFonts w:hint="eastAsia"/>
          <w:color w:val="000000"/>
          <w:sz w:val="28"/>
          <w:szCs w:val="28"/>
          <w:lang w:eastAsia="zh-CN"/>
        </w:rPr>
        <w:t>（</w:t>
      </w:r>
      <w:r>
        <w:rPr>
          <w:rFonts w:hint="eastAsia"/>
          <w:color w:val="000000"/>
          <w:sz w:val="28"/>
          <w:szCs w:val="28"/>
          <w:lang w:val="en-US" w:eastAsia="zh-CN"/>
        </w:rPr>
        <w:t>13</w:t>
      </w:r>
      <w:r>
        <w:rPr>
          <w:rFonts w:hint="eastAsia"/>
          <w:color w:val="000000"/>
          <w:sz w:val="28"/>
          <w:szCs w:val="28"/>
          <w:lang w:eastAsia="zh-CN"/>
        </w:rPr>
        <w:t>）</w:t>
      </w:r>
      <w:r>
        <w:rPr>
          <w:rFonts w:hint="eastAsia"/>
          <w:color w:val="000000" w:themeColor="text1"/>
          <w:sz w:val="28"/>
          <w:szCs w:val="28"/>
          <w14:textFill>
            <w14:solidFill>
              <w14:schemeClr w14:val="tx1"/>
            </w14:solidFill>
          </w14:textFill>
        </w:rPr>
        <w:t>近两年发生的诉讼</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仲裁</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行政处罚</w:t>
      </w:r>
      <w:r>
        <w:rPr>
          <w:rFonts w:hint="eastAsia"/>
          <w:color w:val="000000" w:themeColor="text1"/>
          <w:sz w:val="28"/>
          <w:szCs w:val="28"/>
          <w:lang w:val="en-US" w:eastAsia="zh-CN"/>
          <w14:textFill>
            <w14:solidFill>
              <w14:schemeClr w14:val="tx1"/>
            </w14:solidFill>
          </w14:textFill>
        </w:rPr>
        <w:t>及被强制执行</w:t>
      </w:r>
      <w:r>
        <w:rPr>
          <w:rFonts w:hint="eastAsia"/>
          <w:color w:val="000000" w:themeColor="text1"/>
          <w:sz w:val="28"/>
          <w:szCs w:val="28"/>
          <w14:textFill>
            <w14:solidFill>
              <w14:schemeClr w14:val="tx1"/>
            </w14:solidFill>
          </w14:textFill>
        </w:rPr>
        <w:t>情况；</w:t>
      </w:r>
    </w:p>
    <w:p w14:paraId="13D28F21">
      <w:pPr>
        <w:pageBreakBefore w:val="0"/>
        <w:widowControl w:val="0"/>
        <w:numPr>
          <w:ilvl w:val="0"/>
          <w:numId w:val="0"/>
        </w:numPr>
        <w:kinsoku/>
        <w:wordWrap/>
        <w:overflowPunct/>
        <w:topLinePunct w:val="0"/>
        <w:autoSpaceDE/>
        <w:autoSpaceDN/>
        <w:bidi w:val="0"/>
        <w:adjustRightInd/>
        <w:snapToGrid/>
        <w:ind w:left="0" w:leftChars="0" w:firstLine="560" w:firstLineChars="200"/>
        <w:jc w:val="left"/>
        <w:textAlignment w:val="auto"/>
        <w:rPr>
          <w:rFonts w:hint="eastAsia"/>
          <w:color w:val="000000"/>
          <w:sz w:val="28"/>
          <w:szCs w:val="28"/>
        </w:rPr>
      </w:pP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14</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投标商必须提交企业征信报告</w:t>
      </w:r>
      <w:r>
        <w:rPr>
          <w:rFonts w:hint="eastAsia"/>
          <w:color w:val="000000"/>
          <w:sz w:val="28"/>
          <w:szCs w:val="28"/>
        </w:rPr>
        <w:t>。</w:t>
      </w:r>
    </w:p>
    <w:p w14:paraId="1A3BCEBE">
      <w:pPr>
        <w:pageBreakBefore w:val="0"/>
        <w:widowControl w:val="0"/>
        <w:numPr>
          <w:ilvl w:val="0"/>
          <w:numId w:val="0"/>
        </w:numPr>
        <w:kinsoku/>
        <w:wordWrap/>
        <w:overflowPunct/>
        <w:topLinePunct w:val="0"/>
        <w:autoSpaceDE/>
        <w:autoSpaceDN/>
        <w:bidi w:val="0"/>
        <w:adjustRightInd/>
        <w:snapToGrid/>
        <w:jc w:val="left"/>
        <w:textAlignment w:val="auto"/>
        <w:rPr>
          <w:rFonts w:hint="default" w:eastAsia="宋体"/>
          <w:color w:val="000000"/>
          <w:sz w:val="28"/>
          <w:szCs w:val="28"/>
          <w:highlight w:val="none"/>
          <w:lang w:val="en-US" w:eastAsia="zh-CN"/>
        </w:rPr>
      </w:pPr>
      <w:r>
        <w:rPr>
          <w:rFonts w:hint="eastAsia"/>
          <w:color w:val="000000"/>
          <w:sz w:val="28"/>
          <w:szCs w:val="28"/>
          <w:highlight w:val="none"/>
          <w:lang w:val="en-US" w:eastAsia="zh-CN"/>
        </w:rPr>
        <w:t>注：上述所有预审资料应真实和准确，不得有任何虚假、伪造和夸大的成份，否则，投标方需承担相应的后果和法律责任；每一项文件提交格式为PDF格式，同时PDF中每一页内容均需盖公章。</w:t>
      </w:r>
    </w:p>
    <w:p w14:paraId="40FC89E9">
      <w:pPr>
        <w:pStyle w:val="3"/>
      </w:pPr>
      <w:r>
        <w:t>3.2资格预审申请文件的编制要求</w:t>
      </w:r>
    </w:p>
    <w:p w14:paraId="3CE1F4DC">
      <w:pPr>
        <w:ind w:firstLine="560" w:firstLineChars="200"/>
        <w:jc w:val="left"/>
        <w:rPr>
          <w:rFonts w:hint="eastAsia" w:eastAsia="宋体"/>
          <w:color w:val="000000"/>
          <w:sz w:val="28"/>
          <w:szCs w:val="28"/>
          <w:lang w:eastAsia="zh-CN"/>
        </w:rPr>
      </w:pPr>
      <w:r>
        <w:rPr>
          <w:color w:val="000000"/>
          <w:sz w:val="28"/>
          <w:szCs w:val="28"/>
        </w:rPr>
        <w:t>资格预审申请文件按照“</w:t>
      </w:r>
      <w:r>
        <w:rPr>
          <w:b/>
          <w:bCs/>
          <w:color w:val="000000"/>
          <w:sz w:val="28"/>
          <w:szCs w:val="28"/>
        </w:rPr>
        <w:t>资格预审申请文件格式</w:t>
      </w:r>
      <w:r>
        <w:rPr>
          <w:color w:val="000000"/>
          <w:sz w:val="28"/>
          <w:szCs w:val="28"/>
        </w:rPr>
        <w:t>”进行编写，如有必要，可增加附页，并作为资格预审申请文件的组成部分。</w:t>
      </w:r>
    </w:p>
    <w:p w14:paraId="7BD8B5A7">
      <w:pPr>
        <w:pStyle w:val="3"/>
        <w:rPr>
          <w:rFonts w:hint="default" w:eastAsia="宋体"/>
          <w:lang w:val="en-US" w:eastAsia="zh-CN"/>
        </w:rPr>
      </w:pPr>
      <w:r>
        <w:t>3.3</w:t>
      </w:r>
      <w:r>
        <w:rPr>
          <w:rFonts w:hint="eastAsia"/>
        </w:rPr>
        <w:t>资格预审申请文件的</w:t>
      </w:r>
      <w:r>
        <w:rPr>
          <w:rFonts w:hint="eastAsia"/>
          <w:lang w:val="en-US" w:eastAsia="zh-CN"/>
        </w:rPr>
        <w:t>制作</w:t>
      </w:r>
    </w:p>
    <w:p w14:paraId="2A0E4604">
      <w:pPr>
        <w:ind w:firstLine="560" w:firstLineChars="200"/>
        <w:jc w:val="left"/>
        <w:rPr>
          <w:rFonts w:hint="eastAsia"/>
          <w:color w:val="000000"/>
          <w:sz w:val="28"/>
          <w:szCs w:val="28"/>
        </w:rPr>
      </w:pPr>
      <w:r>
        <w:rPr>
          <w:rFonts w:hint="eastAsia"/>
          <w:color w:val="000000"/>
          <w:sz w:val="28"/>
          <w:szCs w:val="28"/>
        </w:rPr>
        <w:t>（1）按照</w:t>
      </w:r>
      <w:r>
        <w:rPr>
          <w:rFonts w:hint="eastAsia"/>
          <w:color w:val="000000"/>
          <w:sz w:val="28"/>
          <w:szCs w:val="28"/>
          <w:lang w:val="en-US" w:eastAsia="zh-CN"/>
        </w:rPr>
        <w:t>国联干线运输招标预审资格报名网址</w:t>
      </w: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http://glsc.guolian.cn/admin</w:t>
      </w:r>
      <w:r>
        <w:rPr>
          <w:rFonts w:hint="eastAsia"/>
          <w:color w:val="000000" w:themeColor="text1"/>
          <w:sz w:val="28"/>
          <w:szCs w:val="28"/>
          <w:lang w:eastAsia="zh-CN"/>
          <w14:textFill>
            <w14:solidFill>
              <w14:schemeClr w14:val="tx1"/>
            </w14:solidFill>
          </w14:textFill>
        </w:rPr>
        <w:t>）</w:t>
      </w:r>
      <w:r>
        <w:rPr>
          <w:rFonts w:hint="eastAsia"/>
          <w:color w:val="000000"/>
          <w:sz w:val="28"/>
          <w:szCs w:val="28"/>
          <w:lang w:val="en-US" w:eastAsia="zh-CN"/>
        </w:rPr>
        <w:t>各项要求提交相关文件材料。</w:t>
      </w:r>
      <w:r>
        <w:rPr>
          <w:rFonts w:hint="eastAsia"/>
          <w:color w:val="000000"/>
          <w:sz w:val="28"/>
          <w:szCs w:val="28"/>
        </w:rPr>
        <w:t>资格预审申请文件中每一</w:t>
      </w:r>
      <w:r>
        <w:rPr>
          <w:rFonts w:hint="eastAsia"/>
          <w:color w:val="000000"/>
          <w:sz w:val="28"/>
          <w:szCs w:val="28"/>
          <w:lang w:val="en-US" w:eastAsia="zh-CN"/>
        </w:rPr>
        <w:t>页</w:t>
      </w:r>
      <w:r>
        <w:rPr>
          <w:rFonts w:hint="eastAsia"/>
          <w:color w:val="000000"/>
          <w:sz w:val="28"/>
          <w:szCs w:val="28"/>
        </w:rPr>
        <w:t>文件均需加盖申请人有效的公章，资格预审申请文件中任何改动之处应加盖申请人公章或由申请人的法</w:t>
      </w:r>
      <w:r>
        <w:rPr>
          <w:rFonts w:hint="eastAsia"/>
          <w:color w:val="000000"/>
          <w:sz w:val="28"/>
          <w:szCs w:val="28"/>
          <w:lang w:val="en-US" w:eastAsia="zh-CN"/>
        </w:rPr>
        <w:t>定</w:t>
      </w:r>
      <w:r>
        <w:rPr>
          <w:rFonts w:hint="eastAsia"/>
          <w:color w:val="000000"/>
          <w:sz w:val="28"/>
          <w:szCs w:val="28"/>
        </w:rPr>
        <w:t>代表人签字确认。</w:t>
      </w:r>
    </w:p>
    <w:p w14:paraId="5029383D">
      <w:pPr>
        <w:ind w:firstLine="560" w:firstLineChars="200"/>
        <w:jc w:val="left"/>
        <w:rPr>
          <w:b/>
          <w:color w:val="000000"/>
          <w:sz w:val="30"/>
          <w:szCs w:val="30"/>
        </w:rPr>
      </w:pPr>
      <w:r>
        <w:rPr>
          <w:rFonts w:hint="eastAsia"/>
          <w:color w:val="000000"/>
          <w:sz w:val="28"/>
          <w:szCs w:val="28"/>
        </w:rPr>
        <w:t>（</w:t>
      </w:r>
      <w:r>
        <w:rPr>
          <w:rFonts w:hint="eastAsia"/>
          <w:color w:val="000000"/>
          <w:sz w:val="28"/>
          <w:szCs w:val="28"/>
          <w:lang w:val="en-US" w:eastAsia="zh-CN"/>
        </w:rPr>
        <w:t>2</w:t>
      </w:r>
      <w:r>
        <w:rPr>
          <w:rFonts w:hint="eastAsia"/>
          <w:color w:val="000000"/>
          <w:sz w:val="28"/>
          <w:szCs w:val="28"/>
        </w:rPr>
        <w:t>）资格预审申请文件不按以上要求的或字迹模糊、辩认不清的，招标人不予</w:t>
      </w:r>
      <w:r>
        <w:rPr>
          <w:rFonts w:hint="eastAsia"/>
          <w:color w:val="000000"/>
          <w:sz w:val="28"/>
          <w:szCs w:val="28"/>
          <w:lang w:val="en-US" w:eastAsia="zh-CN"/>
        </w:rPr>
        <w:t>审核通过</w:t>
      </w:r>
      <w:r>
        <w:rPr>
          <w:rFonts w:hint="eastAsia"/>
          <w:color w:val="000000"/>
          <w:sz w:val="28"/>
          <w:szCs w:val="28"/>
        </w:rPr>
        <w:t>。</w:t>
      </w:r>
    </w:p>
    <w:p w14:paraId="358849BA">
      <w:pPr>
        <w:pStyle w:val="3"/>
      </w:pPr>
      <w:r>
        <w:rPr>
          <w:rFonts w:hint="eastAsia"/>
          <w:lang w:val="en-US" w:eastAsia="zh-CN"/>
        </w:rPr>
        <w:t>3.4</w:t>
      </w:r>
      <w:r>
        <w:t>资格预审申请文件的提交</w:t>
      </w:r>
    </w:p>
    <w:p w14:paraId="0AB90C7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eastAsia="宋体"/>
          <w:bCs/>
          <w:sz w:val="28"/>
          <w:szCs w:val="28"/>
          <w:lang w:eastAsia="zh-CN"/>
        </w:rPr>
      </w:pPr>
      <w:r>
        <w:rPr>
          <w:rFonts w:hint="eastAsia"/>
          <w:bCs/>
          <w:color w:val="000000"/>
          <w:sz w:val="28"/>
          <w:szCs w:val="28"/>
          <w:lang w:eastAsia="zh-CN"/>
        </w:rPr>
        <w:t>（</w:t>
      </w:r>
      <w:r>
        <w:rPr>
          <w:rFonts w:hint="eastAsia"/>
          <w:bCs/>
          <w:color w:val="000000"/>
          <w:sz w:val="28"/>
          <w:szCs w:val="28"/>
          <w:lang w:val="en-US" w:eastAsia="zh-CN"/>
        </w:rPr>
        <w:t>1</w:t>
      </w:r>
      <w:r>
        <w:rPr>
          <w:rFonts w:hint="eastAsia"/>
          <w:bCs/>
          <w:color w:val="000000"/>
          <w:sz w:val="28"/>
          <w:szCs w:val="28"/>
          <w:lang w:eastAsia="zh-CN"/>
        </w:rPr>
        <w:t>）</w:t>
      </w:r>
      <w:r>
        <w:rPr>
          <w:bCs/>
          <w:color w:val="000000"/>
          <w:sz w:val="28"/>
          <w:szCs w:val="28"/>
        </w:rPr>
        <w:t>申请文件提交截止时间：</w:t>
      </w:r>
      <w:r>
        <w:rPr>
          <w:rFonts w:hint="eastAsia"/>
          <w:bCs/>
          <w:color w:val="000000" w:themeColor="text1"/>
          <w:sz w:val="28"/>
          <w:szCs w:val="28"/>
          <w14:textFill>
            <w14:solidFill>
              <w14:schemeClr w14:val="tx1"/>
            </w14:solidFill>
          </w14:textFill>
        </w:rPr>
        <w:t>2025年</w:t>
      </w:r>
      <w:r>
        <w:rPr>
          <w:rFonts w:hint="eastAsia"/>
          <w:bCs/>
          <w:color w:val="000000" w:themeColor="text1"/>
          <w:sz w:val="28"/>
          <w:szCs w:val="28"/>
          <w:lang w:val="en-US" w:eastAsia="zh-CN"/>
          <w14:textFill>
            <w14:solidFill>
              <w14:schemeClr w14:val="tx1"/>
            </w14:solidFill>
          </w14:textFill>
        </w:rPr>
        <w:t>9</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7</w:t>
      </w:r>
      <w:r>
        <w:rPr>
          <w:rFonts w:hint="eastAsia"/>
          <w:bCs/>
          <w:color w:val="000000" w:themeColor="text1"/>
          <w:sz w:val="28"/>
          <w:szCs w:val="28"/>
          <w14:textFill>
            <w14:solidFill>
              <w14:schemeClr w14:val="tx1"/>
            </w14:solidFill>
          </w14:textFill>
        </w:rPr>
        <w:t>日18时止</w:t>
      </w:r>
      <w:r>
        <w:rPr>
          <w:rFonts w:hint="eastAsia"/>
          <w:bCs/>
          <w:color w:val="000000" w:themeColor="text1"/>
          <w:sz w:val="28"/>
          <w:szCs w:val="28"/>
          <w:lang w:eastAsia="zh-CN"/>
          <w14:textFill>
            <w14:solidFill>
              <w14:schemeClr w14:val="tx1"/>
            </w14:solidFill>
          </w14:textFill>
        </w:rPr>
        <w:t>；</w:t>
      </w:r>
    </w:p>
    <w:p w14:paraId="35F4E0F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bCs/>
          <w:sz w:val="28"/>
          <w:szCs w:val="28"/>
          <w:lang w:val="en-US" w:eastAsia="zh-CN"/>
        </w:rPr>
      </w:pPr>
      <w:r>
        <w:rPr>
          <w:rFonts w:hint="eastAsia"/>
          <w:bCs/>
          <w:sz w:val="28"/>
          <w:szCs w:val="28"/>
          <w:lang w:val="en-US" w:eastAsia="zh-CN"/>
        </w:rPr>
        <w:t>（2）申请人递交资格预审申请文件的方式：申请人需在申请文件递交的截止时间前将资格预审申请文件（按资格预审文件中的要求进行编制并扫描成PDF格式）提交至</w:t>
      </w:r>
      <w:r>
        <w:rPr>
          <w:rFonts w:hint="eastAsia"/>
          <w:color w:val="000000"/>
          <w:sz w:val="28"/>
          <w:szCs w:val="28"/>
          <w:lang w:val="en-US" w:eastAsia="zh-CN"/>
        </w:rPr>
        <w:t>国联干线运输招标预审资格报名网址</w:t>
      </w:r>
      <w:r>
        <w:rPr>
          <w:rFonts w:hint="eastAsia"/>
          <w:bCs/>
          <w:sz w:val="28"/>
          <w:szCs w:val="28"/>
          <w:lang w:val="en-US" w:eastAsia="zh-CN"/>
        </w:rPr>
        <w:t>。</w:t>
      </w:r>
    </w:p>
    <w:p w14:paraId="39710EF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color w:val="000000"/>
          <w:sz w:val="28"/>
          <w:szCs w:val="28"/>
        </w:rPr>
      </w:pPr>
      <w:r>
        <w:rPr>
          <w:rFonts w:hint="eastAsia"/>
          <w:bCs/>
          <w:sz w:val="28"/>
          <w:szCs w:val="28"/>
          <w:lang w:val="en-US" w:eastAsia="zh-CN"/>
        </w:rPr>
        <w:t>（3）逾期提交或未提交到指定</w:t>
      </w:r>
      <w:r>
        <w:rPr>
          <w:rFonts w:hint="eastAsia"/>
          <w:color w:val="000000"/>
          <w:sz w:val="28"/>
          <w:szCs w:val="28"/>
          <w:lang w:val="en-US" w:eastAsia="zh-CN"/>
        </w:rPr>
        <w:t>报名网址</w:t>
      </w:r>
      <w:r>
        <w:rPr>
          <w:rFonts w:hint="eastAsia"/>
          <w:bCs/>
          <w:sz w:val="28"/>
          <w:szCs w:val="28"/>
          <w:lang w:val="en-US" w:eastAsia="zh-CN"/>
        </w:rPr>
        <w:t>的资格预审申请文件，招标人将不予受理。</w:t>
      </w:r>
    </w:p>
    <w:p w14:paraId="274C658D">
      <w:pPr>
        <w:pStyle w:val="3"/>
      </w:pPr>
      <w:r>
        <w:t>3.</w:t>
      </w:r>
      <w:r>
        <w:rPr>
          <w:rFonts w:hint="eastAsia"/>
          <w:lang w:val="en-US" w:eastAsia="zh-CN"/>
        </w:rPr>
        <w:t>6</w:t>
      </w:r>
      <w:r>
        <w:t>资格预审申请文件的修改</w:t>
      </w:r>
    </w:p>
    <w:p w14:paraId="7009E0F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申请人递交资格预审申请文件以后，在规定的提交资格预审申请文件截止时间之前，可以</w:t>
      </w:r>
      <w:r>
        <w:rPr>
          <w:rFonts w:hint="eastAsia"/>
          <w:sz w:val="28"/>
          <w:szCs w:val="28"/>
          <w:lang w:val="en-US" w:eastAsia="zh-CN"/>
        </w:rPr>
        <w:t>在</w:t>
      </w:r>
      <w:r>
        <w:rPr>
          <w:rFonts w:hint="eastAsia"/>
          <w:color w:val="000000"/>
          <w:sz w:val="28"/>
          <w:szCs w:val="28"/>
          <w:lang w:val="en-US" w:eastAsia="zh-CN"/>
        </w:rPr>
        <w:t>国联干线运输招标预审资格报名网址进行修改</w:t>
      </w:r>
      <w:r>
        <w:rPr>
          <w:rFonts w:hint="eastAsia"/>
          <w:sz w:val="28"/>
          <w:szCs w:val="28"/>
        </w:rPr>
        <w:t>。在提交资格预审申请文件截止时间以后，不能更改资格预审申请文件。</w:t>
      </w:r>
    </w:p>
    <w:p w14:paraId="57D6EF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sz w:val="28"/>
          <w:szCs w:val="28"/>
          <w:lang w:val="en-US" w:eastAsia="zh-CN"/>
        </w:rPr>
      </w:pPr>
      <w:r>
        <w:rPr>
          <w:rFonts w:hint="eastAsia"/>
          <w:sz w:val="28"/>
          <w:szCs w:val="28"/>
        </w:rPr>
        <w:t>（2）申请人的补充修改，应按规定编制、</w:t>
      </w:r>
      <w:r>
        <w:rPr>
          <w:rFonts w:hint="eastAsia"/>
          <w:sz w:val="28"/>
          <w:szCs w:val="28"/>
          <w:lang w:val="en-US" w:eastAsia="zh-CN"/>
        </w:rPr>
        <w:t>签字/盖章后扫描成PDF格式提交至</w:t>
      </w:r>
      <w:r>
        <w:rPr>
          <w:rFonts w:hint="eastAsia"/>
          <w:color w:val="000000"/>
          <w:sz w:val="28"/>
          <w:szCs w:val="28"/>
          <w:lang w:val="en-US" w:eastAsia="zh-CN"/>
        </w:rPr>
        <w:t>国联干线运输招标预审资格报名网址</w:t>
      </w:r>
      <w:r>
        <w:rPr>
          <w:rFonts w:hint="eastAsia"/>
          <w:sz w:val="28"/>
          <w:szCs w:val="28"/>
          <w:lang w:val="en-US" w:eastAsia="zh-CN"/>
        </w:rPr>
        <w:t>。</w:t>
      </w:r>
    </w:p>
    <w:p w14:paraId="2E4E05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（3）申请人</w:t>
      </w:r>
      <w:r>
        <w:rPr>
          <w:rFonts w:hint="eastAsia"/>
          <w:sz w:val="28"/>
          <w:szCs w:val="28"/>
          <w:lang w:val="en-US" w:eastAsia="zh-CN"/>
        </w:rPr>
        <w:t>提交</w:t>
      </w:r>
      <w:r>
        <w:rPr>
          <w:rFonts w:hint="eastAsia"/>
          <w:sz w:val="28"/>
          <w:szCs w:val="28"/>
        </w:rPr>
        <w:t>两份或两份以上内容不同的资格预审申请文件的，招标人不予受理。</w:t>
      </w:r>
    </w:p>
    <w:p w14:paraId="5DFFD58C">
      <w:pPr>
        <w:pStyle w:val="2"/>
      </w:pPr>
      <w:r>
        <w:t>四、资格预审申请文件的审查</w:t>
      </w:r>
    </w:p>
    <w:p w14:paraId="1E6AB446">
      <w:pPr>
        <w:pStyle w:val="3"/>
      </w:pPr>
      <w:r>
        <w:t>4.1审查委员会</w:t>
      </w:r>
    </w:p>
    <w:p w14:paraId="027922B8">
      <w:pPr>
        <w:ind w:firstLine="560" w:firstLineChars="200"/>
        <w:jc w:val="left"/>
        <w:rPr>
          <w:color w:val="000000"/>
          <w:sz w:val="28"/>
          <w:szCs w:val="28"/>
        </w:rPr>
      </w:pPr>
      <w:r>
        <w:rPr>
          <w:color w:val="000000"/>
          <w:sz w:val="28"/>
          <w:szCs w:val="28"/>
        </w:rPr>
        <w:t>资格预审申请文件由招标人组成的审查委员会审查。</w:t>
      </w:r>
    </w:p>
    <w:p w14:paraId="4B3C9098">
      <w:pPr>
        <w:pStyle w:val="3"/>
      </w:pPr>
      <w:r>
        <w:t>4.2资格审查</w:t>
      </w:r>
    </w:p>
    <w:p w14:paraId="1606D247">
      <w:pPr>
        <w:ind w:firstLine="560" w:firstLineChars="200"/>
        <w:jc w:val="left"/>
        <w:rPr>
          <w:color w:val="000000"/>
          <w:sz w:val="28"/>
          <w:szCs w:val="28"/>
        </w:rPr>
      </w:pPr>
      <w:r>
        <w:rPr>
          <w:rFonts w:hint="eastAsia"/>
          <w:color w:val="000000"/>
          <w:sz w:val="28"/>
          <w:szCs w:val="28"/>
        </w:rPr>
        <w:t>审查委员会根据规定的“资格审查办法”中规定的审查标准，对所有已受理的资格预审申请文件进行审查，没有规定的方法和标准不得作为审查依据。</w:t>
      </w:r>
    </w:p>
    <w:p w14:paraId="6554E727">
      <w:pPr>
        <w:pStyle w:val="3"/>
      </w:pPr>
      <w:r>
        <w:rPr>
          <w:szCs w:val="28"/>
        </w:rPr>
        <w:t>4.3</w:t>
      </w:r>
      <w:r>
        <w:t>资格审查办法</w:t>
      </w:r>
    </w:p>
    <w:p w14:paraId="29D02E80">
      <w:pPr>
        <w:pStyle w:val="45"/>
        <w:ind w:firstLine="560" w:firstLineChars="200"/>
        <w:rPr>
          <w:rFonts w:hint="eastAsia" w:eastAsia="宋体"/>
          <w:b w:val="0"/>
          <w:bCs w:val="0"/>
          <w:color w:val="auto"/>
          <w:lang w:eastAsia="zh-CN"/>
        </w:rPr>
      </w:pPr>
      <w:r>
        <w:rPr>
          <w:b w:val="0"/>
          <w:bCs w:val="0"/>
          <w:color w:val="auto"/>
        </w:rPr>
        <w:t>4.3.1资格审查办法</w:t>
      </w:r>
      <w:r>
        <w:rPr>
          <w:b w:val="0"/>
          <w:bCs w:val="0"/>
          <w:color w:val="000000" w:themeColor="text1"/>
          <w14:textFill>
            <w14:solidFill>
              <w14:schemeClr w14:val="tx1"/>
            </w14:solidFill>
          </w14:textFill>
        </w:rPr>
        <w:t>附表</w:t>
      </w:r>
    </w:p>
    <w:tbl>
      <w:tblPr>
        <w:tblStyle w:val="15"/>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2412"/>
        <w:gridCol w:w="5853"/>
      </w:tblGrid>
      <w:tr w14:paraId="5B9E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noWrap w:val="0"/>
            <w:vAlign w:val="center"/>
          </w:tcPr>
          <w:p w14:paraId="57F354CA">
            <w:pPr>
              <w:jc w:val="center"/>
              <w:rPr>
                <w:b/>
                <w:bCs/>
                <w:color w:val="000000"/>
                <w:szCs w:val="21"/>
              </w:rPr>
            </w:pPr>
            <w:r>
              <w:rPr>
                <w:b/>
                <w:bCs/>
                <w:color w:val="000000"/>
                <w:szCs w:val="21"/>
              </w:rPr>
              <w:t>条款</w:t>
            </w:r>
          </w:p>
        </w:tc>
        <w:tc>
          <w:tcPr>
            <w:tcW w:w="2412" w:type="dxa"/>
            <w:noWrap w:val="0"/>
            <w:vAlign w:val="center"/>
          </w:tcPr>
          <w:p w14:paraId="597A2D7D">
            <w:pPr>
              <w:jc w:val="center"/>
              <w:rPr>
                <w:b/>
                <w:bCs/>
                <w:color w:val="000000"/>
                <w:szCs w:val="21"/>
              </w:rPr>
            </w:pPr>
            <w:r>
              <w:rPr>
                <w:b/>
                <w:bCs/>
                <w:color w:val="000000"/>
                <w:szCs w:val="21"/>
              </w:rPr>
              <w:t>审查因素</w:t>
            </w:r>
          </w:p>
        </w:tc>
        <w:tc>
          <w:tcPr>
            <w:tcW w:w="5853" w:type="dxa"/>
            <w:noWrap w:val="0"/>
            <w:vAlign w:val="center"/>
          </w:tcPr>
          <w:p w14:paraId="70901886">
            <w:pPr>
              <w:jc w:val="center"/>
              <w:rPr>
                <w:b/>
                <w:bCs/>
                <w:color w:val="000000"/>
                <w:szCs w:val="21"/>
              </w:rPr>
            </w:pPr>
            <w:r>
              <w:rPr>
                <w:b/>
                <w:bCs/>
                <w:color w:val="000000"/>
                <w:szCs w:val="21"/>
              </w:rPr>
              <w:t>审核标准</w:t>
            </w:r>
          </w:p>
        </w:tc>
      </w:tr>
      <w:tr w14:paraId="0E56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restart"/>
            <w:noWrap w:val="0"/>
            <w:vAlign w:val="center"/>
          </w:tcPr>
          <w:p w14:paraId="25CFE135">
            <w:pPr>
              <w:jc w:val="center"/>
              <w:rPr>
                <w:b/>
                <w:bCs/>
                <w:color w:val="000000"/>
                <w:szCs w:val="21"/>
              </w:rPr>
            </w:pPr>
            <w:r>
              <w:rPr>
                <w:b/>
                <w:bCs/>
                <w:color w:val="000000"/>
                <w:szCs w:val="21"/>
              </w:rPr>
              <w:t>初步审查标准</w:t>
            </w:r>
          </w:p>
        </w:tc>
        <w:tc>
          <w:tcPr>
            <w:tcW w:w="2412" w:type="dxa"/>
            <w:noWrap w:val="0"/>
            <w:vAlign w:val="center"/>
          </w:tcPr>
          <w:p w14:paraId="237D7ECC">
            <w:pPr>
              <w:jc w:val="center"/>
              <w:rPr>
                <w:color w:val="000000"/>
                <w:szCs w:val="21"/>
              </w:rPr>
            </w:pPr>
            <w:r>
              <w:rPr>
                <w:color w:val="000000"/>
                <w:szCs w:val="21"/>
              </w:rPr>
              <w:t>申请人名称</w:t>
            </w:r>
          </w:p>
        </w:tc>
        <w:tc>
          <w:tcPr>
            <w:tcW w:w="5853" w:type="dxa"/>
            <w:noWrap w:val="0"/>
            <w:vAlign w:val="center"/>
          </w:tcPr>
          <w:p w14:paraId="06FDE9FE">
            <w:pPr>
              <w:jc w:val="center"/>
              <w:rPr>
                <w:color w:val="000000"/>
                <w:szCs w:val="21"/>
              </w:rPr>
            </w:pPr>
            <w:r>
              <w:rPr>
                <w:color w:val="000000"/>
                <w:szCs w:val="21"/>
              </w:rPr>
              <w:t>与营业执照一致</w:t>
            </w:r>
          </w:p>
        </w:tc>
      </w:tr>
      <w:tr w14:paraId="1DED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4F35580F">
            <w:pPr>
              <w:jc w:val="center"/>
              <w:rPr>
                <w:b/>
                <w:bCs/>
                <w:color w:val="000000"/>
                <w:szCs w:val="21"/>
              </w:rPr>
            </w:pPr>
          </w:p>
        </w:tc>
        <w:tc>
          <w:tcPr>
            <w:tcW w:w="2412" w:type="dxa"/>
            <w:noWrap w:val="0"/>
            <w:vAlign w:val="center"/>
          </w:tcPr>
          <w:p w14:paraId="22B9E019">
            <w:pPr>
              <w:jc w:val="center"/>
              <w:rPr>
                <w:color w:val="000000"/>
                <w:szCs w:val="21"/>
              </w:rPr>
            </w:pPr>
            <w:r>
              <w:rPr>
                <w:color w:val="000000"/>
                <w:szCs w:val="21"/>
              </w:rPr>
              <w:t>申请人签字盖章</w:t>
            </w:r>
          </w:p>
        </w:tc>
        <w:tc>
          <w:tcPr>
            <w:tcW w:w="5853" w:type="dxa"/>
            <w:noWrap w:val="0"/>
            <w:vAlign w:val="center"/>
          </w:tcPr>
          <w:p w14:paraId="36054210">
            <w:pPr>
              <w:jc w:val="center"/>
              <w:rPr>
                <w:color w:val="000000"/>
                <w:szCs w:val="21"/>
              </w:rPr>
            </w:pPr>
            <w:r>
              <w:rPr>
                <w:color w:val="000000"/>
                <w:szCs w:val="21"/>
              </w:rPr>
              <w:t>有法定代表人签字加盖单位公章</w:t>
            </w:r>
          </w:p>
        </w:tc>
      </w:tr>
      <w:tr w14:paraId="01DF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31F64065">
            <w:pPr>
              <w:jc w:val="center"/>
              <w:rPr>
                <w:b/>
                <w:bCs/>
                <w:color w:val="000000"/>
                <w:szCs w:val="21"/>
              </w:rPr>
            </w:pPr>
          </w:p>
        </w:tc>
        <w:tc>
          <w:tcPr>
            <w:tcW w:w="2412" w:type="dxa"/>
            <w:noWrap w:val="0"/>
            <w:vAlign w:val="center"/>
          </w:tcPr>
          <w:p w14:paraId="42C9550B">
            <w:pPr>
              <w:jc w:val="center"/>
              <w:rPr>
                <w:color w:val="000000"/>
                <w:szCs w:val="21"/>
              </w:rPr>
            </w:pPr>
            <w:r>
              <w:rPr>
                <w:color w:val="000000"/>
                <w:szCs w:val="21"/>
              </w:rPr>
              <w:t>申请文件格式</w:t>
            </w:r>
          </w:p>
        </w:tc>
        <w:tc>
          <w:tcPr>
            <w:tcW w:w="5853" w:type="dxa"/>
            <w:noWrap w:val="0"/>
            <w:vAlign w:val="center"/>
          </w:tcPr>
          <w:p w14:paraId="3B3DD9FF">
            <w:pPr>
              <w:jc w:val="center"/>
              <w:rPr>
                <w:color w:val="000000"/>
                <w:szCs w:val="21"/>
              </w:rPr>
            </w:pPr>
            <w:r>
              <w:rPr>
                <w:color w:val="000000"/>
                <w:szCs w:val="21"/>
              </w:rPr>
              <w:t>符合第三章“资格预审申请文件的编制”要求（包括但不限于“资格预审申请文件格式”的要求）</w:t>
            </w:r>
          </w:p>
        </w:tc>
      </w:tr>
      <w:tr w14:paraId="04FA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restart"/>
            <w:noWrap w:val="0"/>
            <w:vAlign w:val="center"/>
          </w:tcPr>
          <w:p w14:paraId="3A254624">
            <w:pPr>
              <w:jc w:val="center"/>
              <w:rPr>
                <w:b/>
                <w:bCs/>
                <w:color w:val="000000"/>
                <w:szCs w:val="21"/>
              </w:rPr>
            </w:pPr>
            <w:r>
              <w:rPr>
                <w:b/>
                <w:bCs/>
                <w:color w:val="000000"/>
                <w:szCs w:val="21"/>
              </w:rPr>
              <w:t>详细审查标准</w:t>
            </w:r>
          </w:p>
        </w:tc>
        <w:tc>
          <w:tcPr>
            <w:tcW w:w="2412" w:type="dxa"/>
            <w:noWrap w:val="0"/>
            <w:vAlign w:val="center"/>
          </w:tcPr>
          <w:p w14:paraId="0EFE5C5A">
            <w:pPr>
              <w:jc w:val="center"/>
              <w:rPr>
                <w:color w:val="000000"/>
                <w:szCs w:val="21"/>
              </w:rPr>
            </w:pPr>
            <w:r>
              <w:rPr>
                <w:color w:val="000000"/>
                <w:szCs w:val="21"/>
              </w:rPr>
              <w:t>营业执照</w:t>
            </w:r>
          </w:p>
        </w:tc>
        <w:tc>
          <w:tcPr>
            <w:tcW w:w="5853" w:type="dxa"/>
            <w:noWrap w:val="0"/>
            <w:vAlign w:val="center"/>
          </w:tcPr>
          <w:p w14:paraId="76B0F31D">
            <w:pPr>
              <w:jc w:val="center"/>
              <w:rPr>
                <w:color w:val="000000"/>
                <w:szCs w:val="21"/>
              </w:rPr>
            </w:pPr>
            <w:r>
              <w:rPr>
                <w:color w:val="000000"/>
                <w:szCs w:val="21"/>
              </w:rPr>
              <w:t>具备有效的营业执照</w:t>
            </w:r>
          </w:p>
        </w:tc>
      </w:tr>
      <w:tr w14:paraId="7EB7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67FB7EC6">
            <w:pPr>
              <w:jc w:val="center"/>
              <w:rPr>
                <w:b/>
                <w:bCs/>
                <w:color w:val="000000"/>
                <w:szCs w:val="21"/>
              </w:rPr>
            </w:pPr>
          </w:p>
        </w:tc>
        <w:tc>
          <w:tcPr>
            <w:tcW w:w="2412" w:type="dxa"/>
            <w:noWrap w:val="0"/>
            <w:vAlign w:val="center"/>
          </w:tcPr>
          <w:p w14:paraId="42B5119B">
            <w:pPr>
              <w:jc w:val="center"/>
              <w:rPr>
                <w:color w:val="000000"/>
                <w:szCs w:val="21"/>
              </w:rPr>
            </w:pPr>
            <w:r>
              <w:rPr>
                <w:color w:val="000000"/>
                <w:szCs w:val="21"/>
              </w:rPr>
              <w:t>注册资金</w:t>
            </w:r>
          </w:p>
        </w:tc>
        <w:tc>
          <w:tcPr>
            <w:tcW w:w="5853" w:type="dxa"/>
            <w:noWrap w:val="0"/>
            <w:vAlign w:val="center"/>
          </w:tcPr>
          <w:p w14:paraId="4E19175B">
            <w:pPr>
              <w:jc w:val="center"/>
              <w:rPr>
                <w:color w:val="000000"/>
                <w:szCs w:val="21"/>
              </w:rPr>
            </w:pPr>
            <w:r>
              <w:rPr>
                <w:color w:val="000000"/>
                <w:szCs w:val="21"/>
              </w:rPr>
              <w:t>注册金额不得少于500万元</w:t>
            </w:r>
          </w:p>
        </w:tc>
      </w:tr>
      <w:tr w14:paraId="0EE2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4D61ECD8">
            <w:pPr>
              <w:jc w:val="center"/>
              <w:rPr>
                <w:b/>
                <w:bCs/>
                <w:color w:val="000000"/>
                <w:szCs w:val="21"/>
              </w:rPr>
            </w:pPr>
          </w:p>
        </w:tc>
        <w:tc>
          <w:tcPr>
            <w:tcW w:w="2412" w:type="dxa"/>
            <w:noWrap w:val="0"/>
            <w:vAlign w:val="center"/>
          </w:tcPr>
          <w:p w14:paraId="5A641674">
            <w:pPr>
              <w:jc w:val="center"/>
              <w:rPr>
                <w:color w:val="000000"/>
                <w:szCs w:val="21"/>
              </w:rPr>
            </w:pPr>
            <w:r>
              <w:rPr>
                <w:color w:val="000000"/>
                <w:szCs w:val="21"/>
              </w:rPr>
              <w:t>道路运输经营许可证</w:t>
            </w:r>
          </w:p>
        </w:tc>
        <w:tc>
          <w:tcPr>
            <w:tcW w:w="5853" w:type="dxa"/>
            <w:noWrap w:val="0"/>
            <w:vAlign w:val="center"/>
          </w:tcPr>
          <w:p w14:paraId="7D63223A">
            <w:pPr>
              <w:jc w:val="center"/>
              <w:rPr>
                <w:color w:val="000000"/>
                <w:szCs w:val="21"/>
              </w:rPr>
            </w:pPr>
            <w:r>
              <w:rPr>
                <w:color w:val="000000"/>
                <w:szCs w:val="21"/>
              </w:rPr>
              <w:t>具备有效的道路运输经营许可证</w:t>
            </w:r>
          </w:p>
        </w:tc>
      </w:tr>
      <w:tr w14:paraId="7F2F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1490FA0F">
            <w:pPr>
              <w:jc w:val="center"/>
              <w:rPr>
                <w:b/>
                <w:bCs/>
                <w:color w:val="000000"/>
                <w:szCs w:val="21"/>
              </w:rPr>
            </w:pPr>
          </w:p>
        </w:tc>
        <w:tc>
          <w:tcPr>
            <w:tcW w:w="2412" w:type="dxa"/>
            <w:noWrap w:val="0"/>
            <w:vAlign w:val="center"/>
          </w:tcPr>
          <w:p w14:paraId="7C319020">
            <w:pPr>
              <w:jc w:val="center"/>
              <w:rPr>
                <w:color w:val="000000"/>
                <w:szCs w:val="21"/>
              </w:rPr>
            </w:pPr>
            <w:r>
              <w:rPr>
                <w:color w:val="000000"/>
                <w:szCs w:val="21"/>
              </w:rPr>
              <w:t>开户许可证</w:t>
            </w:r>
          </w:p>
        </w:tc>
        <w:tc>
          <w:tcPr>
            <w:tcW w:w="5853" w:type="dxa"/>
            <w:noWrap w:val="0"/>
            <w:vAlign w:val="center"/>
          </w:tcPr>
          <w:p w14:paraId="5CB9DDB8">
            <w:pPr>
              <w:jc w:val="center"/>
              <w:rPr>
                <w:color w:val="000000"/>
                <w:szCs w:val="21"/>
              </w:rPr>
            </w:pPr>
            <w:r>
              <w:rPr>
                <w:color w:val="000000"/>
                <w:szCs w:val="21"/>
              </w:rPr>
              <w:t>具备有效的开户许可证</w:t>
            </w:r>
          </w:p>
        </w:tc>
      </w:tr>
      <w:tr w14:paraId="7D9D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1AD49895">
            <w:pPr>
              <w:jc w:val="center"/>
              <w:rPr>
                <w:b/>
                <w:bCs/>
                <w:color w:val="000000"/>
                <w:szCs w:val="21"/>
              </w:rPr>
            </w:pPr>
          </w:p>
        </w:tc>
        <w:tc>
          <w:tcPr>
            <w:tcW w:w="2412" w:type="dxa"/>
            <w:noWrap w:val="0"/>
            <w:vAlign w:val="center"/>
          </w:tcPr>
          <w:p w14:paraId="574F5678">
            <w:pPr>
              <w:jc w:val="center"/>
              <w:rPr>
                <w:color w:val="000000"/>
                <w:szCs w:val="21"/>
              </w:rPr>
            </w:pPr>
            <w:r>
              <w:rPr>
                <w:rFonts w:hint="eastAsia"/>
                <w:color w:val="000000"/>
                <w:szCs w:val="21"/>
              </w:rPr>
              <w:t>货物运输保险</w:t>
            </w:r>
          </w:p>
        </w:tc>
        <w:tc>
          <w:tcPr>
            <w:tcW w:w="5853" w:type="dxa"/>
            <w:noWrap w:val="0"/>
            <w:vAlign w:val="center"/>
          </w:tcPr>
          <w:p w14:paraId="37BC76FA">
            <w:pPr>
              <w:jc w:val="center"/>
              <w:rPr>
                <w:color w:val="000000"/>
                <w:szCs w:val="21"/>
              </w:rPr>
            </w:pPr>
            <w:r>
              <w:rPr>
                <w:rFonts w:hint="eastAsia"/>
                <w:color w:val="000000"/>
                <w:szCs w:val="21"/>
              </w:rPr>
              <w:t>适格冷链水产货物运输</w:t>
            </w:r>
          </w:p>
        </w:tc>
      </w:tr>
      <w:tr w14:paraId="2041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12414706">
            <w:pPr>
              <w:jc w:val="center"/>
              <w:rPr>
                <w:b/>
                <w:bCs/>
                <w:color w:val="000000"/>
                <w:szCs w:val="21"/>
              </w:rPr>
            </w:pPr>
          </w:p>
        </w:tc>
        <w:tc>
          <w:tcPr>
            <w:tcW w:w="2412" w:type="dxa"/>
            <w:noWrap w:val="0"/>
            <w:vAlign w:val="center"/>
          </w:tcPr>
          <w:p w14:paraId="39506FE8">
            <w:pPr>
              <w:jc w:val="center"/>
              <w:rPr>
                <w:color w:val="000000"/>
                <w:szCs w:val="21"/>
              </w:rPr>
            </w:pPr>
            <w:r>
              <w:rPr>
                <w:color w:val="000000"/>
                <w:szCs w:val="21"/>
              </w:rPr>
              <w:t>一般纳税人资格证明</w:t>
            </w:r>
          </w:p>
        </w:tc>
        <w:tc>
          <w:tcPr>
            <w:tcW w:w="5853" w:type="dxa"/>
            <w:noWrap w:val="0"/>
            <w:vAlign w:val="center"/>
          </w:tcPr>
          <w:p w14:paraId="5530F71D">
            <w:pPr>
              <w:jc w:val="center"/>
              <w:rPr>
                <w:color w:val="000000"/>
                <w:szCs w:val="21"/>
              </w:rPr>
            </w:pPr>
            <w:r>
              <w:rPr>
                <w:color w:val="000000"/>
                <w:szCs w:val="21"/>
              </w:rPr>
              <w:t>为一般纳税人，能提供运输增值税专用发票，发票税率要求为9%</w:t>
            </w:r>
          </w:p>
        </w:tc>
      </w:tr>
      <w:tr w14:paraId="348E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68F2D10B">
            <w:pPr>
              <w:jc w:val="center"/>
              <w:rPr>
                <w:b/>
                <w:bCs/>
                <w:color w:val="000000"/>
                <w:szCs w:val="21"/>
              </w:rPr>
            </w:pPr>
          </w:p>
        </w:tc>
        <w:tc>
          <w:tcPr>
            <w:tcW w:w="2412" w:type="dxa"/>
            <w:noWrap w:val="0"/>
            <w:vAlign w:val="center"/>
          </w:tcPr>
          <w:p w14:paraId="3AAD6157">
            <w:pPr>
              <w:jc w:val="center"/>
              <w:rPr>
                <w:color w:val="000000"/>
                <w:szCs w:val="21"/>
              </w:rPr>
            </w:pPr>
            <w:r>
              <w:rPr>
                <w:color w:val="000000"/>
                <w:szCs w:val="21"/>
              </w:rPr>
              <w:t>财务状况</w:t>
            </w:r>
          </w:p>
        </w:tc>
        <w:tc>
          <w:tcPr>
            <w:tcW w:w="5853" w:type="dxa"/>
            <w:noWrap w:val="0"/>
            <w:vAlign w:val="center"/>
          </w:tcPr>
          <w:p w14:paraId="1FA649E1">
            <w:pPr>
              <w:jc w:val="center"/>
              <w:rPr>
                <w:color w:val="000000"/>
                <w:szCs w:val="21"/>
              </w:rPr>
            </w:pPr>
            <w:r>
              <w:rPr>
                <w:color w:val="000000"/>
                <w:szCs w:val="21"/>
              </w:rPr>
              <w:t>近两年的财务经营状况，近两年每年营业额1000万元以上，资产负</w:t>
            </w:r>
            <w:r>
              <w:rPr>
                <w:color w:val="000000"/>
                <w:szCs w:val="21"/>
                <w:highlight w:val="none"/>
              </w:rPr>
              <w:t>债率不高于80%</w:t>
            </w:r>
            <w:r>
              <w:rPr>
                <w:rFonts w:hint="eastAsia"/>
                <w:color w:val="000000"/>
                <w:szCs w:val="21"/>
                <w:lang w:eastAsia="zh-CN"/>
              </w:rPr>
              <w:t>（</w:t>
            </w:r>
            <w:r>
              <w:rPr>
                <w:color w:val="000000"/>
                <w:szCs w:val="21"/>
              </w:rPr>
              <w:t>央企、省级以上国有大型企业及上市公司除外</w:t>
            </w:r>
            <w:r>
              <w:rPr>
                <w:rFonts w:hint="eastAsia"/>
                <w:color w:val="000000"/>
                <w:szCs w:val="21"/>
                <w:lang w:eastAsia="zh-CN"/>
              </w:rPr>
              <w:t>）</w:t>
            </w:r>
            <w:r>
              <w:rPr>
                <w:color w:val="000000"/>
                <w:szCs w:val="21"/>
              </w:rPr>
              <w:t>；具有良好的商业信誉和健全的财务会计制度</w:t>
            </w:r>
          </w:p>
        </w:tc>
      </w:tr>
      <w:tr w14:paraId="27A9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480A0458">
            <w:pPr>
              <w:jc w:val="center"/>
              <w:rPr>
                <w:b/>
                <w:bCs/>
                <w:color w:val="000000"/>
                <w:szCs w:val="21"/>
              </w:rPr>
            </w:pPr>
          </w:p>
        </w:tc>
        <w:tc>
          <w:tcPr>
            <w:tcW w:w="2412" w:type="dxa"/>
            <w:noWrap w:val="0"/>
            <w:vAlign w:val="center"/>
          </w:tcPr>
          <w:p w14:paraId="228074E8">
            <w:pPr>
              <w:jc w:val="center"/>
              <w:rPr>
                <w:color w:val="000000"/>
                <w:szCs w:val="21"/>
              </w:rPr>
            </w:pPr>
            <w:r>
              <w:rPr>
                <w:color w:val="000000"/>
                <w:szCs w:val="21"/>
              </w:rPr>
              <w:t>自有车辆</w:t>
            </w:r>
          </w:p>
        </w:tc>
        <w:tc>
          <w:tcPr>
            <w:tcW w:w="5853" w:type="dxa"/>
            <w:noWrap w:val="0"/>
            <w:vAlign w:val="center"/>
          </w:tcPr>
          <w:p w14:paraId="6A4E8FD1">
            <w:pPr>
              <w:jc w:val="center"/>
              <w:rPr>
                <w:color w:val="000000"/>
                <w:szCs w:val="21"/>
              </w:rPr>
            </w:pPr>
            <w:r>
              <w:rPr>
                <w:color w:val="000000"/>
                <w:szCs w:val="21"/>
              </w:rPr>
              <w:t>具备从事冷链物流运输行业所必需的相关资质以及相应冷链运输能力、物流售后服务能力，并符合第一章第</w:t>
            </w:r>
            <w:r>
              <w:rPr>
                <w:rFonts w:hint="eastAsia"/>
                <w:color w:val="000000"/>
                <w:szCs w:val="21"/>
                <w:lang w:val="en-US" w:eastAsia="zh-CN"/>
              </w:rPr>
              <w:t>1.</w:t>
            </w:r>
            <w:r>
              <w:rPr>
                <w:color w:val="000000"/>
                <w:szCs w:val="21"/>
              </w:rPr>
              <w:t>5条“申请人资格要求”中第（1</w:t>
            </w:r>
            <w:r>
              <w:rPr>
                <w:rFonts w:hint="eastAsia"/>
                <w:color w:val="000000"/>
                <w:szCs w:val="21"/>
                <w:lang w:val="en-US" w:eastAsia="zh-CN"/>
              </w:rPr>
              <w:t>1</w:t>
            </w:r>
            <w:r>
              <w:rPr>
                <w:color w:val="000000"/>
                <w:szCs w:val="21"/>
              </w:rPr>
              <w:t>）点规定</w:t>
            </w:r>
          </w:p>
        </w:tc>
      </w:tr>
      <w:tr w14:paraId="091B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45447E37">
            <w:pPr>
              <w:jc w:val="center"/>
              <w:rPr>
                <w:b/>
                <w:bCs/>
                <w:color w:val="000000"/>
                <w:szCs w:val="21"/>
              </w:rPr>
            </w:pPr>
          </w:p>
        </w:tc>
        <w:tc>
          <w:tcPr>
            <w:tcW w:w="2412" w:type="dxa"/>
            <w:noWrap w:val="0"/>
            <w:vAlign w:val="center"/>
          </w:tcPr>
          <w:p w14:paraId="690C61D8">
            <w:pPr>
              <w:jc w:val="center"/>
              <w:rPr>
                <w:color w:val="000000"/>
                <w:szCs w:val="21"/>
              </w:rPr>
            </w:pPr>
            <w:r>
              <w:rPr>
                <w:color w:val="000000"/>
                <w:szCs w:val="21"/>
              </w:rPr>
              <w:t>信誉</w:t>
            </w:r>
          </w:p>
        </w:tc>
        <w:tc>
          <w:tcPr>
            <w:tcW w:w="5853" w:type="dxa"/>
            <w:noWrap w:val="0"/>
            <w:vAlign w:val="center"/>
          </w:tcPr>
          <w:p w14:paraId="1965025B">
            <w:pPr>
              <w:jc w:val="center"/>
              <w:rPr>
                <w:color w:val="000000"/>
                <w:szCs w:val="21"/>
              </w:rPr>
            </w:pPr>
            <w:r>
              <w:rPr>
                <w:color w:val="000000"/>
                <w:szCs w:val="21"/>
              </w:rPr>
              <w:t>符合第一章第</w:t>
            </w:r>
            <w:r>
              <w:rPr>
                <w:rFonts w:hint="eastAsia"/>
                <w:color w:val="000000"/>
                <w:szCs w:val="21"/>
                <w:lang w:val="en-US" w:eastAsia="zh-CN"/>
              </w:rPr>
              <w:t>1.</w:t>
            </w:r>
            <w:r>
              <w:rPr>
                <w:color w:val="000000"/>
                <w:szCs w:val="21"/>
              </w:rPr>
              <w:t>5条“申请人资格要求”中第（6）点规定</w:t>
            </w:r>
          </w:p>
        </w:tc>
      </w:tr>
      <w:tr w14:paraId="7784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7DD4C637">
            <w:pPr>
              <w:jc w:val="center"/>
              <w:rPr>
                <w:b/>
                <w:bCs/>
                <w:color w:val="000000"/>
                <w:szCs w:val="21"/>
              </w:rPr>
            </w:pPr>
          </w:p>
        </w:tc>
        <w:tc>
          <w:tcPr>
            <w:tcW w:w="2412" w:type="dxa"/>
            <w:noWrap w:val="0"/>
            <w:vAlign w:val="center"/>
          </w:tcPr>
          <w:p w14:paraId="68D6FF53">
            <w:pPr>
              <w:jc w:val="center"/>
              <w:rPr>
                <w:color w:val="000000"/>
                <w:szCs w:val="21"/>
              </w:rPr>
            </w:pPr>
            <w:r>
              <w:rPr>
                <w:color w:val="000000"/>
                <w:szCs w:val="21"/>
              </w:rPr>
              <w:t>GPS自有推送系统</w:t>
            </w:r>
          </w:p>
        </w:tc>
        <w:tc>
          <w:tcPr>
            <w:tcW w:w="5853" w:type="dxa"/>
            <w:noWrap w:val="0"/>
            <w:vAlign w:val="center"/>
          </w:tcPr>
          <w:p w14:paraId="2B9FC59E">
            <w:pPr>
              <w:jc w:val="center"/>
              <w:rPr>
                <w:color w:val="000000"/>
                <w:szCs w:val="21"/>
              </w:rPr>
            </w:pPr>
            <w:r>
              <w:rPr>
                <w:color w:val="000000"/>
                <w:szCs w:val="21"/>
              </w:rPr>
              <w:t>可将车辆的实时信息推送到我司平台</w:t>
            </w:r>
          </w:p>
        </w:tc>
      </w:tr>
      <w:tr w14:paraId="564E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restart"/>
            <w:noWrap w:val="0"/>
            <w:vAlign w:val="center"/>
          </w:tcPr>
          <w:p w14:paraId="22F38B57">
            <w:pPr>
              <w:jc w:val="center"/>
              <w:rPr>
                <w:b/>
                <w:bCs/>
                <w:color w:val="000000"/>
                <w:szCs w:val="21"/>
              </w:rPr>
            </w:pPr>
            <w:r>
              <w:rPr>
                <w:b/>
                <w:bCs/>
                <w:color w:val="000000"/>
                <w:szCs w:val="21"/>
              </w:rPr>
              <w:t>评分标准</w:t>
            </w:r>
          </w:p>
        </w:tc>
        <w:tc>
          <w:tcPr>
            <w:tcW w:w="2412" w:type="dxa"/>
            <w:noWrap w:val="0"/>
            <w:vAlign w:val="center"/>
          </w:tcPr>
          <w:p w14:paraId="59F257F9">
            <w:pPr>
              <w:jc w:val="center"/>
              <w:rPr>
                <w:b/>
                <w:bCs/>
                <w:color w:val="000000"/>
                <w:szCs w:val="21"/>
              </w:rPr>
            </w:pPr>
            <w:r>
              <w:rPr>
                <w:b/>
                <w:bCs/>
                <w:color w:val="000000"/>
                <w:szCs w:val="21"/>
              </w:rPr>
              <w:t>评分因素</w:t>
            </w:r>
          </w:p>
        </w:tc>
        <w:tc>
          <w:tcPr>
            <w:tcW w:w="5853" w:type="dxa"/>
            <w:noWrap w:val="0"/>
            <w:vAlign w:val="center"/>
          </w:tcPr>
          <w:p w14:paraId="3576BAF0">
            <w:pPr>
              <w:jc w:val="center"/>
              <w:rPr>
                <w:b/>
                <w:bCs/>
                <w:color w:val="000000"/>
                <w:szCs w:val="21"/>
              </w:rPr>
            </w:pPr>
            <w:r>
              <w:rPr>
                <w:b/>
                <w:bCs/>
                <w:color w:val="000000"/>
                <w:szCs w:val="21"/>
              </w:rPr>
              <w:t>评分标准</w:t>
            </w:r>
          </w:p>
        </w:tc>
      </w:tr>
      <w:tr w14:paraId="5B9E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04DF5C8D">
            <w:pPr>
              <w:jc w:val="center"/>
              <w:rPr>
                <w:color w:val="000000"/>
                <w:szCs w:val="21"/>
              </w:rPr>
            </w:pPr>
          </w:p>
        </w:tc>
        <w:tc>
          <w:tcPr>
            <w:tcW w:w="2412" w:type="dxa"/>
            <w:noWrap w:val="0"/>
            <w:vAlign w:val="center"/>
          </w:tcPr>
          <w:p w14:paraId="4D32C267">
            <w:pPr>
              <w:jc w:val="center"/>
              <w:rPr>
                <w:color w:val="000000"/>
                <w:szCs w:val="21"/>
              </w:rPr>
            </w:pPr>
            <w:r>
              <w:rPr>
                <w:color w:val="000000"/>
                <w:szCs w:val="21"/>
              </w:rPr>
              <w:t>注册资金</w:t>
            </w:r>
          </w:p>
        </w:tc>
        <w:tc>
          <w:tcPr>
            <w:tcW w:w="5853" w:type="dxa"/>
            <w:noWrap w:val="0"/>
            <w:vAlign w:val="center"/>
          </w:tcPr>
          <w:p w14:paraId="4D204F50">
            <w:pPr>
              <w:jc w:val="center"/>
              <w:rPr>
                <w:color w:val="000000"/>
                <w:szCs w:val="21"/>
              </w:rPr>
            </w:pPr>
            <w:r>
              <w:rPr>
                <w:color w:val="000000"/>
                <w:szCs w:val="21"/>
              </w:rPr>
              <w:t>实缴金额越高，得分越高</w:t>
            </w:r>
          </w:p>
        </w:tc>
      </w:tr>
      <w:tr w14:paraId="4FA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4BCA0C99">
            <w:pPr>
              <w:jc w:val="center"/>
              <w:rPr>
                <w:color w:val="000000"/>
                <w:szCs w:val="21"/>
              </w:rPr>
            </w:pPr>
          </w:p>
        </w:tc>
        <w:tc>
          <w:tcPr>
            <w:tcW w:w="2412" w:type="dxa"/>
            <w:noWrap w:val="0"/>
            <w:vAlign w:val="center"/>
          </w:tcPr>
          <w:p w14:paraId="7082CF01">
            <w:pPr>
              <w:jc w:val="center"/>
              <w:rPr>
                <w:color w:val="000000"/>
                <w:szCs w:val="21"/>
              </w:rPr>
            </w:pPr>
            <w:r>
              <w:rPr>
                <w:color w:val="000000"/>
                <w:szCs w:val="21"/>
              </w:rPr>
              <w:t>财务状况</w:t>
            </w:r>
          </w:p>
        </w:tc>
        <w:tc>
          <w:tcPr>
            <w:tcW w:w="5853" w:type="dxa"/>
            <w:noWrap w:val="0"/>
            <w:vAlign w:val="center"/>
          </w:tcPr>
          <w:p w14:paraId="7987B33C">
            <w:pPr>
              <w:jc w:val="center"/>
              <w:rPr>
                <w:color w:val="000000"/>
                <w:szCs w:val="21"/>
              </w:rPr>
            </w:pPr>
            <w:r>
              <w:rPr>
                <w:color w:val="000000"/>
                <w:szCs w:val="21"/>
              </w:rPr>
              <w:t>资产负债率越低，得分越高</w:t>
            </w:r>
          </w:p>
        </w:tc>
      </w:tr>
      <w:tr w14:paraId="5E68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730B2A12">
            <w:pPr>
              <w:jc w:val="center"/>
              <w:rPr>
                <w:color w:val="000000"/>
                <w:szCs w:val="21"/>
              </w:rPr>
            </w:pPr>
          </w:p>
        </w:tc>
        <w:tc>
          <w:tcPr>
            <w:tcW w:w="2412" w:type="dxa"/>
            <w:noWrap w:val="0"/>
            <w:vAlign w:val="center"/>
          </w:tcPr>
          <w:p w14:paraId="61EBEF74">
            <w:pPr>
              <w:jc w:val="center"/>
              <w:rPr>
                <w:color w:val="000000"/>
                <w:szCs w:val="21"/>
              </w:rPr>
            </w:pPr>
            <w:r>
              <w:rPr>
                <w:color w:val="000000"/>
                <w:szCs w:val="21"/>
              </w:rPr>
              <w:t>自有车辆</w:t>
            </w:r>
          </w:p>
        </w:tc>
        <w:tc>
          <w:tcPr>
            <w:tcW w:w="5853" w:type="dxa"/>
            <w:noWrap w:val="0"/>
            <w:vAlign w:val="center"/>
          </w:tcPr>
          <w:p w14:paraId="3A1BB0AD">
            <w:pPr>
              <w:jc w:val="center"/>
              <w:rPr>
                <w:color w:val="000000"/>
                <w:szCs w:val="21"/>
              </w:rPr>
            </w:pPr>
            <w:r>
              <w:rPr>
                <w:color w:val="000000"/>
                <w:szCs w:val="21"/>
              </w:rPr>
              <w:t>按数量制，数量越多，得分越高</w:t>
            </w:r>
          </w:p>
        </w:tc>
      </w:tr>
      <w:tr w14:paraId="0872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034D8B50">
            <w:pPr>
              <w:jc w:val="center"/>
              <w:rPr>
                <w:color w:val="000000"/>
                <w:szCs w:val="21"/>
              </w:rPr>
            </w:pPr>
          </w:p>
        </w:tc>
        <w:tc>
          <w:tcPr>
            <w:tcW w:w="2412" w:type="dxa"/>
            <w:noWrap w:val="0"/>
            <w:vAlign w:val="center"/>
          </w:tcPr>
          <w:p w14:paraId="57F40ABF">
            <w:pPr>
              <w:jc w:val="center"/>
              <w:rPr>
                <w:color w:val="000000"/>
                <w:szCs w:val="21"/>
              </w:rPr>
            </w:pPr>
            <w:r>
              <w:rPr>
                <w:color w:val="000000"/>
                <w:szCs w:val="21"/>
              </w:rPr>
              <w:t>信誉</w:t>
            </w:r>
          </w:p>
        </w:tc>
        <w:tc>
          <w:tcPr>
            <w:tcW w:w="5853" w:type="dxa"/>
            <w:noWrap w:val="0"/>
            <w:vAlign w:val="center"/>
          </w:tcPr>
          <w:p w14:paraId="40074C95">
            <w:pPr>
              <w:jc w:val="center"/>
              <w:rPr>
                <w:color w:val="000000"/>
                <w:szCs w:val="21"/>
              </w:rPr>
            </w:pPr>
            <w:r>
              <w:rPr>
                <w:color w:val="000000"/>
                <w:szCs w:val="21"/>
              </w:rPr>
              <w:t>是否</w:t>
            </w:r>
            <w:r>
              <w:rPr>
                <w:rFonts w:hint="eastAsia"/>
                <w:color w:val="000000"/>
                <w:szCs w:val="21"/>
                <w:lang w:val="en-US" w:eastAsia="zh-CN"/>
              </w:rPr>
              <w:t>有</w:t>
            </w:r>
            <w:r>
              <w:rPr>
                <w:color w:val="000000"/>
                <w:szCs w:val="21"/>
              </w:rPr>
              <w:t>法律纠纷及案件数</w:t>
            </w:r>
          </w:p>
        </w:tc>
      </w:tr>
      <w:tr w14:paraId="364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6AE2DF8B">
            <w:pPr>
              <w:jc w:val="center"/>
              <w:rPr>
                <w:color w:val="000000"/>
                <w:szCs w:val="21"/>
              </w:rPr>
            </w:pPr>
          </w:p>
        </w:tc>
        <w:tc>
          <w:tcPr>
            <w:tcW w:w="2412" w:type="dxa"/>
            <w:noWrap w:val="0"/>
            <w:vAlign w:val="center"/>
          </w:tcPr>
          <w:p w14:paraId="77F00A57">
            <w:pPr>
              <w:jc w:val="center"/>
              <w:rPr>
                <w:color w:val="000000"/>
                <w:szCs w:val="21"/>
              </w:rPr>
            </w:pPr>
            <w:r>
              <w:rPr>
                <w:rFonts w:hint="eastAsia"/>
                <w:color w:val="000000"/>
                <w:szCs w:val="21"/>
              </w:rPr>
              <w:t>货物运输保险</w:t>
            </w:r>
          </w:p>
        </w:tc>
        <w:tc>
          <w:tcPr>
            <w:tcW w:w="5853" w:type="dxa"/>
            <w:noWrap w:val="0"/>
            <w:vAlign w:val="center"/>
          </w:tcPr>
          <w:p w14:paraId="5F558BF5">
            <w:pPr>
              <w:jc w:val="center"/>
              <w:rPr>
                <w:color w:val="000000"/>
                <w:szCs w:val="21"/>
              </w:rPr>
            </w:pPr>
            <w:r>
              <w:rPr>
                <w:rFonts w:hint="eastAsia"/>
                <w:color w:val="000000"/>
                <w:szCs w:val="21"/>
              </w:rPr>
              <w:t>适格冷链水产货物运输</w:t>
            </w:r>
            <w:r>
              <w:rPr>
                <w:rFonts w:hint="eastAsia"/>
                <w:color w:val="000000"/>
                <w:szCs w:val="21"/>
                <w:lang w:eastAsia="zh-CN"/>
              </w:rPr>
              <w:t>，</w:t>
            </w:r>
            <w:r>
              <w:rPr>
                <w:color w:val="000000"/>
                <w:szCs w:val="21"/>
              </w:rPr>
              <w:t>有or无</w:t>
            </w:r>
          </w:p>
        </w:tc>
      </w:tr>
      <w:tr w14:paraId="4E0C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161A7278">
            <w:pPr>
              <w:jc w:val="center"/>
              <w:rPr>
                <w:color w:val="000000"/>
                <w:szCs w:val="21"/>
              </w:rPr>
            </w:pPr>
          </w:p>
        </w:tc>
        <w:tc>
          <w:tcPr>
            <w:tcW w:w="2412" w:type="dxa"/>
            <w:noWrap w:val="0"/>
            <w:vAlign w:val="center"/>
          </w:tcPr>
          <w:p w14:paraId="16173106">
            <w:pPr>
              <w:jc w:val="center"/>
              <w:rPr>
                <w:color w:val="000000"/>
                <w:szCs w:val="21"/>
              </w:rPr>
            </w:pPr>
            <w:r>
              <w:rPr>
                <w:color w:val="000000"/>
                <w:szCs w:val="21"/>
              </w:rPr>
              <w:t>TMS或自有推送系统</w:t>
            </w:r>
          </w:p>
        </w:tc>
        <w:tc>
          <w:tcPr>
            <w:tcW w:w="5853" w:type="dxa"/>
            <w:noWrap w:val="0"/>
            <w:vAlign w:val="center"/>
          </w:tcPr>
          <w:p w14:paraId="55B43413">
            <w:pPr>
              <w:jc w:val="center"/>
              <w:rPr>
                <w:color w:val="000000"/>
                <w:szCs w:val="21"/>
              </w:rPr>
            </w:pPr>
            <w:r>
              <w:rPr>
                <w:color w:val="000000"/>
                <w:szCs w:val="21"/>
              </w:rPr>
              <w:t>有or无</w:t>
            </w:r>
          </w:p>
        </w:tc>
      </w:tr>
      <w:tr w14:paraId="1F93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vMerge w:val="continue"/>
            <w:noWrap w:val="0"/>
            <w:vAlign w:val="center"/>
          </w:tcPr>
          <w:p w14:paraId="56D122F6">
            <w:pPr>
              <w:jc w:val="center"/>
              <w:rPr>
                <w:color w:val="000000"/>
                <w:szCs w:val="21"/>
              </w:rPr>
            </w:pPr>
          </w:p>
        </w:tc>
        <w:tc>
          <w:tcPr>
            <w:tcW w:w="2412" w:type="dxa"/>
            <w:noWrap w:val="0"/>
            <w:vAlign w:val="center"/>
          </w:tcPr>
          <w:p w14:paraId="10813EA0">
            <w:pPr>
              <w:jc w:val="center"/>
              <w:rPr>
                <w:color w:val="000000"/>
                <w:szCs w:val="21"/>
              </w:rPr>
            </w:pPr>
            <w:r>
              <w:rPr>
                <w:color w:val="000000"/>
                <w:szCs w:val="21"/>
              </w:rPr>
              <w:t>车辆自带GPS</w:t>
            </w:r>
          </w:p>
        </w:tc>
        <w:tc>
          <w:tcPr>
            <w:tcW w:w="5853" w:type="dxa"/>
            <w:noWrap w:val="0"/>
            <w:vAlign w:val="center"/>
          </w:tcPr>
          <w:p w14:paraId="27BD8C35">
            <w:pPr>
              <w:jc w:val="center"/>
              <w:rPr>
                <w:color w:val="000000"/>
                <w:szCs w:val="21"/>
              </w:rPr>
            </w:pPr>
            <w:r>
              <w:rPr>
                <w:color w:val="000000"/>
                <w:szCs w:val="21"/>
              </w:rPr>
              <w:t>按数量制</w:t>
            </w:r>
          </w:p>
        </w:tc>
      </w:tr>
    </w:tbl>
    <w:p w14:paraId="295E3E99">
      <w:pPr>
        <w:pStyle w:val="45"/>
        <w:ind w:firstLine="560" w:firstLineChars="200"/>
        <w:rPr>
          <w:b w:val="0"/>
          <w:bCs w:val="0"/>
          <w:color w:val="auto"/>
        </w:rPr>
      </w:pPr>
      <w:r>
        <w:rPr>
          <w:b w:val="0"/>
          <w:bCs w:val="0"/>
          <w:color w:val="auto"/>
        </w:rPr>
        <w:t>4.3.2审查方法</w:t>
      </w:r>
    </w:p>
    <w:p w14:paraId="0CE5C3F7">
      <w:pPr>
        <w:ind w:firstLine="560" w:firstLineChars="200"/>
        <w:jc w:val="left"/>
        <w:rPr>
          <w:color w:val="000000"/>
          <w:sz w:val="28"/>
          <w:szCs w:val="28"/>
        </w:rPr>
      </w:pPr>
      <w:r>
        <w:rPr>
          <w:color w:val="000000"/>
          <w:sz w:val="28"/>
          <w:szCs w:val="28"/>
        </w:rPr>
        <w:t>本次资格预审采用</w:t>
      </w:r>
      <w:r>
        <w:rPr>
          <w:b/>
          <w:bCs/>
          <w:color w:val="000000"/>
          <w:sz w:val="28"/>
          <w:szCs w:val="28"/>
        </w:rPr>
        <w:t>有限数量制</w:t>
      </w:r>
      <w:r>
        <w:rPr>
          <w:color w:val="000000"/>
          <w:sz w:val="28"/>
          <w:szCs w:val="28"/>
        </w:rPr>
        <w:t>，审查委员会根据规定的审查标准和程序，对通过初步审查和详细审查的资格预审申请文件进行量化打分，按得分由高到低的顺序确定通过资格预审的申请人。</w:t>
      </w:r>
    </w:p>
    <w:p w14:paraId="401A516D">
      <w:pPr>
        <w:pStyle w:val="45"/>
        <w:ind w:firstLine="560" w:firstLineChars="200"/>
        <w:rPr>
          <w:b w:val="0"/>
          <w:bCs w:val="0"/>
          <w:color w:val="auto"/>
        </w:rPr>
      </w:pPr>
      <w:r>
        <w:rPr>
          <w:b w:val="0"/>
          <w:bCs w:val="0"/>
          <w:color w:val="auto"/>
        </w:rPr>
        <w:t>4.3.3审查标准</w:t>
      </w:r>
    </w:p>
    <w:p w14:paraId="0041C8C8">
      <w:pPr>
        <w:ind w:firstLine="560" w:firstLineChars="200"/>
        <w:jc w:val="left"/>
        <w:rPr>
          <w:color w:val="000000"/>
          <w:sz w:val="28"/>
          <w:szCs w:val="28"/>
        </w:rPr>
      </w:pPr>
      <w:r>
        <w:rPr>
          <w:color w:val="000000"/>
          <w:sz w:val="28"/>
          <w:szCs w:val="28"/>
        </w:rPr>
        <w:t>初步审查标准—详细审查标准—评分标准，见资格审查办法</w:t>
      </w:r>
      <w:r>
        <w:rPr>
          <w:color w:val="000000" w:themeColor="text1"/>
          <w:sz w:val="28"/>
          <w:szCs w:val="28"/>
          <w:u w:val="none"/>
          <w14:textFill>
            <w14:solidFill>
              <w14:schemeClr w14:val="tx1"/>
            </w14:solidFill>
          </w14:textFill>
        </w:rPr>
        <w:t>附表</w:t>
      </w:r>
      <w:r>
        <w:rPr>
          <w:color w:val="000000"/>
          <w:sz w:val="28"/>
          <w:szCs w:val="28"/>
        </w:rPr>
        <w:t>。</w:t>
      </w:r>
    </w:p>
    <w:p w14:paraId="6B977169">
      <w:pPr>
        <w:pStyle w:val="45"/>
        <w:ind w:firstLine="560" w:firstLineChars="200"/>
        <w:rPr>
          <w:b w:val="0"/>
          <w:bCs w:val="0"/>
          <w:color w:val="auto"/>
        </w:rPr>
      </w:pPr>
      <w:r>
        <w:rPr>
          <w:b w:val="0"/>
          <w:bCs w:val="0"/>
          <w:color w:val="auto"/>
        </w:rPr>
        <w:t>4.3.4审查程序</w:t>
      </w:r>
    </w:p>
    <w:p w14:paraId="11AE6DE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b/>
          <w:bCs/>
          <w:color w:val="000000"/>
          <w:sz w:val="28"/>
          <w:szCs w:val="28"/>
        </w:rPr>
      </w:pPr>
      <w:r>
        <w:rPr>
          <w:rFonts w:hint="eastAsia"/>
          <w:b/>
          <w:bCs/>
          <w:color w:val="000000"/>
          <w:sz w:val="28"/>
          <w:szCs w:val="28"/>
          <w:lang w:eastAsia="zh-CN"/>
        </w:rPr>
        <w:t>（</w:t>
      </w:r>
      <w:r>
        <w:rPr>
          <w:b/>
          <w:bCs/>
          <w:color w:val="000000"/>
          <w:sz w:val="28"/>
          <w:szCs w:val="28"/>
        </w:rPr>
        <w:t>1</w:t>
      </w:r>
      <w:r>
        <w:rPr>
          <w:rFonts w:hint="eastAsia"/>
          <w:b/>
          <w:bCs/>
          <w:color w:val="000000"/>
          <w:sz w:val="28"/>
          <w:szCs w:val="28"/>
          <w:lang w:eastAsia="zh-CN"/>
        </w:rPr>
        <w:t>）</w:t>
      </w:r>
      <w:r>
        <w:rPr>
          <w:b/>
          <w:bCs/>
          <w:color w:val="000000"/>
          <w:sz w:val="28"/>
          <w:szCs w:val="28"/>
        </w:rPr>
        <w:t>初步审查</w:t>
      </w:r>
    </w:p>
    <w:p w14:paraId="338B6D8F">
      <w:pPr>
        <w:ind w:firstLine="560" w:firstLineChars="200"/>
        <w:jc w:val="left"/>
        <w:rPr>
          <w:rFonts w:hint="eastAsia"/>
          <w:color w:val="000000"/>
          <w:sz w:val="28"/>
          <w:szCs w:val="28"/>
        </w:rPr>
      </w:pPr>
      <w:r>
        <w:rPr>
          <w:color w:val="000000"/>
          <w:sz w:val="28"/>
          <w:szCs w:val="28"/>
        </w:rPr>
        <w:t>审查委员会对资格预审申请文件进行初步审查并打分</w:t>
      </w:r>
      <w:r>
        <w:rPr>
          <w:rFonts w:hint="eastAsia"/>
          <w:color w:val="000000"/>
          <w:sz w:val="28"/>
          <w:szCs w:val="28"/>
        </w:rPr>
        <w:t>。</w:t>
      </w:r>
    </w:p>
    <w:p w14:paraId="40344298">
      <w:pPr>
        <w:ind w:firstLine="560" w:firstLineChars="200"/>
        <w:jc w:val="left"/>
        <w:rPr>
          <w:color w:val="000000"/>
          <w:sz w:val="28"/>
          <w:szCs w:val="28"/>
        </w:rPr>
      </w:pPr>
      <w:r>
        <w:rPr>
          <w:color w:val="000000"/>
          <w:sz w:val="28"/>
          <w:szCs w:val="28"/>
        </w:rPr>
        <w:t>审查委员会可以要求申请人提交申请人资格要求涉及的各项有关证明和证件的原件，以便核验。</w:t>
      </w:r>
    </w:p>
    <w:p w14:paraId="4FE2E8F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b/>
          <w:bCs/>
          <w:color w:val="000000"/>
          <w:sz w:val="28"/>
          <w:szCs w:val="28"/>
        </w:rPr>
      </w:pPr>
      <w:r>
        <w:rPr>
          <w:b/>
          <w:bCs/>
          <w:color w:val="000000"/>
          <w:sz w:val="28"/>
          <w:szCs w:val="28"/>
        </w:rPr>
        <w:t>（2）详细审查</w:t>
      </w:r>
    </w:p>
    <w:p w14:paraId="000BF78E">
      <w:pPr>
        <w:ind w:firstLine="560" w:firstLineChars="200"/>
        <w:jc w:val="left"/>
        <w:rPr>
          <w:color w:val="000000"/>
          <w:sz w:val="28"/>
          <w:szCs w:val="28"/>
        </w:rPr>
      </w:pPr>
      <w:r>
        <w:rPr>
          <w:rFonts w:hint="eastAsia" w:ascii="宋体" w:hAnsi="宋体" w:cs="宋体"/>
          <w:color w:val="000000"/>
          <w:sz w:val="28"/>
          <w:szCs w:val="28"/>
        </w:rPr>
        <w:t>①</w:t>
      </w:r>
      <w:r>
        <w:rPr>
          <w:color w:val="000000"/>
          <w:sz w:val="28"/>
          <w:szCs w:val="28"/>
        </w:rPr>
        <w:t>审查委员会对通过初审的资格预审申请文件进行详细审查，有一项因素不符合审查标准的，不能通过资格预审。</w:t>
      </w:r>
    </w:p>
    <w:p w14:paraId="758D6698">
      <w:pPr>
        <w:ind w:firstLine="560" w:firstLineChars="200"/>
        <w:jc w:val="left"/>
        <w:rPr>
          <w:color w:val="000000"/>
          <w:sz w:val="28"/>
          <w:szCs w:val="28"/>
        </w:rPr>
      </w:pPr>
      <w:r>
        <w:rPr>
          <w:rFonts w:hint="eastAsia" w:ascii="宋体" w:hAnsi="宋体" w:cs="宋体"/>
          <w:color w:val="000000"/>
          <w:sz w:val="28"/>
          <w:szCs w:val="28"/>
        </w:rPr>
        <w:t>②</w:t>
      </w:r>
      <w:r>
        <w:rPr>
          <w:color w:val="000000"/>
          <w:sz w:val="28"/>
          <w:szCs w:val="28"/>
        </w:rPr>
        <w:t>通过资格预审的申请人除应满足规定的审查标准外，还不得存在下列任何一种情况：</w:t>
      </w:r>
    </w:p>
    <w:p w14:paraId="49CE871C">
      <w:pPr>
        <w:ind w:firstLine="560" w:firstLineChars="200"/>
        <w:jc w:val="left"/>
        <w:rPr>
          <w:color w:val="000000"/>
          <w:sz w:val="28"/>
          <w:szCs w:val="28"/>
        </w:rPr>
      </w:pPr>
      <w:r>
        <w:rPr>
          <w:color w:val="000000"/>
          <w:sz w:val="28"/>
          <w:szCs w:val="28"/>
        </w:rPr>
        <w:t>A、不按审查委员会要求澄清或说明的；</w:t>
      </w:r>
    </w:p>
    <w:p w14:paraId="27DA65C1">
      <w:pPr>
        <w:ind w:firstLine="560" w:firstLineChars="200"/>
        <w:jc w:val="left"/>
        <w:rPr>
          <w:color w:val="000000"/>
          <w:sz w:val="28"/>
          <w:szCs w:val="28"/>
        </w:rPr>
      </w:pPr>
      <w:r>
        <w:rPr>
          <w:color w:val="000000"/>
          <w:sz w:val="28"/>
          <w:szCs w:val="28"/>
        </w:rPr>
        <w:t>B、在资格预审过程中弄虚作假、行贿或有其他违法违规行为的。</w:t>
      </w:r>
    </w:p>
    <w:p w14:paraId="2E32AFF3">
      <w:pPr>
        <w:pStyle w:val="45"/>
        <w:ind w:firstLine="560" w:firstLineChars="200"/>
        <w:rPr>
          <w:b w:val="0"/>
          <w:bCs w:val="0"/>
          <w:color w:val="auto"/>
        </w:rPr>
      </w:pPr>
      <w:r>
        <w:rPr>
          <w:b w:val="0"/>
          <w:bCs w:val="0"/>
          <w:color w:val="auto"/>
        </w:rPr>
        <w:t>4.3.5资格预审申请文件的澄清</w:t>
      </w:r>
    </w:p>
    <w:p w14:paraId="10C8AF25">
      <w:pPr>
        <w:ind w:firstLine="560" w:firstLineChars="200"/>
        <w:jc w:val="left"/>
        <w:rPr>
          <w:color w:val="000000"/>
          <w:sz w:val="28"/>
          <w:szCs w:val="28"/>
        </w:rPr>
      </w:pPr>
      <w:r>
        <w:rPr>
          <w:color w:val="000000"/>
          <w:sz w:val="28"/>
          <w:szCs w:val="28"/>
        </w:rPr>
        <w:t>在审查过程中，审查委员会</w:t>
      </w:r>
      <w:r>
        <w:rPr>
          <w:rFonts w:hint="eastAsia"/>
          <w:color w:val="000000"/>
          <w:sz w:val="28"/>
          <w:szCs w:val="28"/>
          <w:lang w:val="en-US" w:eastAsia="zh-CN"/>
        </w:rPr>
        <w:t>以电子邮箱的</w:t>
      </w:r>
      <w:r>
        <w:rPr>
          <w:color w:val="000000"/>
          <w:sz w:val="28"/>
          <w:szCs w:val="28"/>
        </w:rPr>
        <w:t>形式，要求申请人对所提交的资格预审申请文件中不明确的内容进行必要的澄清或说明，申请人的澄清或说明</w:t>
      </w:r>
      <w:r>
        <w:rPr>
          <w:rFonts w:hint="eastAsia"/>
          <w:color w:val="000000"/>
          <w:sz w:val="28"/>
          <w:szCs w:val="28"/>
          <w:lang w:val="en-US" w:eastAsia="zh-CN"/>
        </w:rPr>
        <w:t>需电子邮箱回复</w:t>
      </w:r>
      <w:r>
        <w:rPr>
          <w:color w:val="000000"/>
          <w:sz w:val="28"/>
          <w:szCs w:val="28"/>
        </w:rPr>
        <w:t>，并不得改变资格预审申请文件的实质性内容，申请人的澄清和说明内容属于资格预审申请文件的组成部分，招标人和审查委员会不接受申请人主动提出的澄清或说明。</w:t>
      </w:r>
    </w:p>
    <w:p w14:paraId="65ECE08B">
      <w:pPr>
        <w:pStyle w:val="45"/>
        <w:ind w:firstLine="560" w:firstLineChars="200"/>
        <w:rPr>
          <w:b w:val="0"/>
          <w:bCs w:val="0"/>
          <w:color w:val="auto"/>
        </w:rPr>
      </w:pPr>
      <w:r>
        <w:rPr>
          <w:b w:val="0"/>
          <w:bCs w:val="0"/>
          <w:color w:val="auto"/>
        </w:rPr>
        <w:t>4.3.6评分</w:t>
      </w:r>
    </w:p>
    <w:p w14:paraId="1EC5D8BB">
      <w:pPr>
        <w:ind w:firstLine="560" w:firstLineChars="200"/>
        <w:jc w:val="left"/>
        <w:rPr>
          <w:rFonts w:hint="eastAsia"/>
          <w:color w:val="000000"/>
          <w:sz w:val="28"/>
          <w:szCs w:val="28"/>
        </w:rPr>
      </w:pPr>
      <w:r>
        <w:rPr>
          <w:rFonts w:hint="eastAsia"/>
          <w:color w:val="000000"/>
          <w:sz w:val="28"/>
          <w:szCs w:val="28"/>
        </w:rPr>
        <w:t>（1）通过详细审查的申请人不少于3个的，没有超过规定数量（20个）的，均通过资格预审，不再进行评分。</w:t>
      </w:r>
    </w:p>
    <w:p w14:paraId="3402CF31">
      <w:pPr>
        <w:ind w:firstLine="560" w:firstLineChars="200"/>
        <w:jc w:val="left"/>
        <w:rPr>
          <w:color w:val="000000"/>
          <w:sz w:val="28"/>
          <w:szCs w:val="28"/>
        </w:rPr>
      </w:pPr>
      <w:r>
        <w:rPr>
          <w:rFonts w:hint="eastAsia"/>
          <w:color w:val="000000"/>
          <w:sz w:val="28"/>
          <w:szCs w:val="28"/>
        </w:rPr>
        <w:t>（2）通过详细审查的申请人数量超过20个的，审查委员会根据本章3.2款评分标准进行评分，按得分由高到低的顺序进行排序</w:t>
      </w:r>
      <w:r>
        <w:rPr>
          <w:rFonts w:hint="eastAsia"/>
          <w:color w:val="000000" w:themeColor="text1"/>
          <w:sz w:val="28"/>
          <w:szCs w:val="28"/>
          <w:lang w:val="en-US" w:eastAsia="zh-CN"/>
          <w14:textFill>
            <w14:solidFill>
              <w14:schemeClr w14:val="tx1"/>
            </w14:solidFill>
          </w14:textFill>
        </w:rPr>
        <w:t>确认前20个通过资格预审</w:t>
      </w:r>
      <w:r>
        <w:rPr>
          <w:rFonts w:hint="eastAsia"/>
          <w:color w:val="000000"/>
          <w:sz w:val="28"/>
          <w:szCs w:val="28"/>
        </w:rPr>
        <w:t>。</w:t>
      </w:r>
    </w:p>
    <w:p w14:paraId="1A15CD4D">
      <w:pPr>
        <w:pStyle w:val="3"/>
      </w:pPr>
      <w:r>
        <w:t>4.4审查结果</w:t>
      </w:r>
    </w:p>
    <w:p w14:paraId="6E0FD47A">
      <w:pPr>
        <w:pStyle w:val="45"/>
        <w:ind w:firstLine="560" w:firstLineChars="200"/>
        <w:rPr>
          <w:b w:val="0"/>
          <w:bCs w:val="0"/>
          <w:color w:val="auto"/>
        </w:rPr>
      </w:pPr>
      <w:r>
        <w:rPr>
          <w:b w:val="0"/>
          <w:bCs w:val="0"/>
          <w:color w:val="auto"/>
        </w:rPr>
        <w:t>4.4.1提交审查报告</w:t>
      </w:r>
    </w:p>
    <w:p w14:paraId="09A50FAA">
      <w:pPr>
        <w:ind w:firstLine="560" w:firstLineChars="200"/>
        <w:jc w:val="left"/>
        <w:rPr>
          <w:color w:val="000000"/>
          <w:sz w:val="28"/>
          <w:szCs w:val="28"/>
        </w:rPr>
      </w:pPr>
      <w:r>
        <w:rPr>
          <w:color w:val="000000"/>
          <w:sz w:val="28"/>
          <w:szCs w:val="28"/>
        </w:rPr>
        <w:t>审查委员会按照规定程序对资格预审申请文件完成审查后，确定通过资格预审的申请人名单，并向招标人提交</w:t>
      </w:r>
      <w:r>
        <w:rPr>
          <w:rFonts w:hint="eastAsia"/>
          <w:color w:val="000000"/>
          <w:sz w:val="28"/>
          <w:szCs w:val="28"/>
          <w:lang w:val="en-US" w:eastAsia="zh-CN"/>
        </w:rPr>
        <w:t>电子版</w:t>
      </w:r>
      <w:r>
        <w:rPr>
          <w:color w:val="000000"/>
          <w:sz w:val="28"/>
          <w:szCs w:val="28"/>
        </w:rPr>
        <w:t>审查报告。</w:t>
      </w:r>
    </w:p>
    <w:p w14:paraId="35F86027">
      <w:pPr>
        <w:pStyle w:val="45"/>
        <w:ind w:firstLine="560" w:firstLineChars="200"/>
        <w:rPr>
          <w:b w:val="0"/>
          <w:bCs w:val="0"/>
          <w:color w:val="auto"/>
        </w:rPr>
      </w:pPr>
      <w:r>
        <w:rPr>
          <w:b w:val="0"/>
          <w:bCs w:val="0"/>
          <w:color w:val="auto"/>
        </w:rPr>
        <w:t>4.4.2重新进行资格预审或招标</w:t>
      </w:r>
    </w:p>
    <w:p w14:paraId="61CEFEC0">
      <w:pPr>
        <w:ind w:firstLine="560" w:firstLineChars="200"/>
        <w:jc w:val="left"/>
        <w:rPr>
          <w:color w:val="000000"/>
          <w:sz w:val="28"/>
          <w:szCs w:val="28"/>
        </w:rPr>
      </w:pPr>
      <w:r>
        <w:rPr>
          <w:color w:val="000000"/>
          <w:sz w:val="28"/>
          <w:szCs w:val="28"/>
        </w:rPr>
        <w:t>通过详细审查申请人的数量不足3个的，招标人重新组织资格预审或不再组织资格预审而直接招标。</w:t>
      </w:r>
    </w:p>
    <w:p w14:paraId="2FFF537A">
      <w:pPr>
        <w:pStyle w:val="2"/>
      </w:pPr>
      <w:r>
        <w:t>五、通知和确认</w:t>
      </w:r>
    </w:p>
    <w:p w14:paraId="40D35C36">
      <w:pPr>
        <w:pStyle w:val="3"/>
      </w:pPr>
      <w:r>
        <w:t>5.1通知</w:t>
      </w:r>
    </w:p>
    <w:p w14:paraId="188C6928">
      <w:pPr>
        <w:ind w:firstLine="560" w:firstLineChars="200"/>
        <w:jc w:val="left"/>
        <w:rPr>
          <w:b/>
          <w:sz w:val="28"/>
          <w:szCs w:val="28"/>
        </w:rPr>
      </w:pPr>
      <w:r>
        <w:rPr>
          <w:bCs/>
          <w:color w:val="000000"/>
          <w:sz w:val="28"/>
          <w:szCs w:val="28"/>
        </w:rPr>
        <w:t>资格预审通过公告时间：</w:t>
      </w:r>
      <w:r>
        <w:rPr>
          <w:rFonts w:hint="eastAsia"/>
          <w:b/>
          <w:sz w:val="28"/>
          <w:szCs w:val="28"/>
        </w:rPr>
        <w:t>2025年</w:t>
      </w:r>
      <w:r>
        <w:rPr>
          <w:rFonts w:hint="eastAsia"/>
          <w:b/>
          <w:sz w:val="28"/>
          <w:szCs w:val="28"/>
          <w:lang w:val="en-US" w:eastAsia="zh-CN"/>
        </w:rPr>
        <w:t>9</w:t>
      </w:r>
      <w:r>
        <w:rPr>
          <w:rFonts w:hint="eastAsia"/>
          <w:b/>
          <w:sz w:val="28"/>
          <w:szCs w:val="28"/>
        </w:rPr>
        <w:t>月</w:t>
      </w:r>
      <w:r>
        <w:rPr>
          <w:rFonts w:hint="eastAsia"/>
          <w:b/>
          <w:sz w:val="28"/>
          <w:szCs w:val="28"/>
          <w:lang w:val="en-US" w:eastAsia="zh-CN"/>
        </w:rPr>
        <w:t>9</w:t>
      </w:r>
      <w:r>
        <w:rPr>
          <w:rFonts w:hint="eastAsia"/>
          <w:b/>
          <w:sz w:val="28"/>
          <w:szCs w:val="28"/>
        </w:rPr>
        <w:t>日至2025年</w:t>
      </w:r>
      <w:r>
        <w:rPr>
          <w:rFonts w:hint="eastAsia"/>
          <w:b/>
          <w:sz w:val="28"/>
          <w:szCs w:val="28"/>
          <w:lang w:val="en-US" w:eastAsia="zh-CN"/>
        </w:rPr>
        <w:t>9</w:t>
      </w:r>
      <w:r>
        <w:rPr>
          <w:rFonts w:hint="eastAsia"/>
          <w:b/>
          <w:sz w:val="28"/>
          <w:szCs w:val="28"/>
        </w:rPr>
        <w:t>月</w:t>
      </w:r>
      <w:r>
        <w:rPr>
          <w:rFonts w:hint="eastAsia"/>
          <w:b/>
          <w:sz w:val="28"/>
          <w:szCs w:val="28"/>
          <w:lang w:val="en-US" w:eastAsia="zh-CN"/>
        </w:rPr>
        <w:t>11</w:t>
      </w:r>
      <w:r>
        <w:rPr>
          <w:rFonts w:hint="eastAsia"/>
          <w:b/>
          <w:sz w:val="28"/>
          <w:szCs w:val="28"/>
        </w:rPr>
        <w:t>日18时止</w:t>
      </w:r>
    </w:p>
    <w:p w14:paraId="43D34E72">
      <w:pPr>
        <w:ind w:firstLine="560" w:firstLineChars="200"/>
        <w:jc w:val="left"/>
        <w:rPr>
          <w:b/>
          <w:sz w:val="28"/>
          <w:szCs w:val="28"/>
        </w:rPr>
      </w:pPr>
      <w:r>
        <w:rPr>
          <w:bCs/>
          <w:sz w:val="28"/>
          <w:szCs w:val="28"/>
        </w:rPr>
        <w:t>资格预审通过公告方式：</w:t>
      </w:r>
    </w:p>
    <w:p w14:paraId="7B44948E">
      <w:pPr>
        <w:ind w:firstLine="562" w:firstLineChars="200"/>
        <w:jc w:val="left"/>
        <w:rPr>
          <w:b/>
          <w:color w:val="000000"/>
          <w:sz w:val="28"/>
          <w:szCs w:val="28"/>
        </w:rPr>
      </w:pPr>
      <w:r>
        <w:rPr>
          <w:rFonts w:hint="eastAsia"/>
          <w:b/>
          <w:color w:val="000000"/>
          <w:sz w:val="28"/>
          <w:szCs w:val="28"/>
          <w:lang w:eastAsia="zh-CN"/>
        </w:rPr>
        <w:t>（</w:t>
      </w:r>
      <w:r>
        <w:rPr>
          <w:b/>
          <w:color w:val="000000"/>
          <w:sz w:val="28"/>
          <w:szCs w:val="28"/>
        </w:rPr>
        <w:t>1）国联水产集团官网：</w:t>
      </w:r>
      <w:r>
        <w:rPr>
          <w:b/>
          <w:color w:val="000000"/>
          <w:sz w:val="28"/>
          <w:szCs w:val="28"/>
        </w:rPr>
        <w:fldChar w:fldCharType="begin"/>
      </w:r>
      <w:r>
        <w:rPr>
          <w:b/>
          <w:color w:val="000000"/>
          <w:sz w:val="28"/>
          <w:szCs w:val="28"/>
        </w:rPr>
        <w:instrText xml:space="preserve"> HYPERLINK "http://www.guolian.cn" </w:instrText>
      </w:r>
      <w:r>
        <w:rPr>
          <w:b/>
          <w:color w:val="000000"/>
          <w:sz w:val="28"/>
          <w:szCs w:val="28"/>
        </w:rPr>
        <w:fldChar w:fldCharType="separate"/>
      </w:r>
      <w:r>
        <w:rPr>
          <w:rStyle w:val="21"/>
          <w:b/>
          <w:sz w:val="28"/>
          <w:szCs w:val="28"/>
        </w:rPr>
        <w:t>www.guolian.cn</w:t>
      </w:r>
      <w:r>
        <w:rPr>
          <w:b/>
          <w:color w:val="000000"/>
          <w:sz w:val="28"/>
          <w:szCs w:val="28"/>
        </w:rPr>
        <w:fldChar w:fldCharType="end"/>
      </w:r>
    </w:p>
    <w:p w14:paraId="136195D0">
      <w:pPr>
        <w:ind w:firstLine="562" w:firstLineChars="200"/>
        <w:jc w:val="left"/>
        <w:rPr>
          <w:b/>
          <w:color w:val="000000"/>
          <w:sz w:val="28"/>
          <w:szCs w:val="28"/>
          <w:highlight w:val="none"/>
        </w:rPr>
      </w:pPr>
      <w:r>
        <w:rPr>
          <w:rFonts w:hint="eastAsia"/>
          <w:b/>
          <w:color w:val="000000"/>
          <w:sz w:val="28"/>
          <w:szCs w:val="28"/>
          <w:highlight w:val="none"/>
          <w:lang w:eastAsia="zh-CN"/>
        </w:rPr>
        <w:t>（</w:t>
      </w:r>
      <w:r>
        <w:rPr>
          <w:b/>
          <w:color w:val="000000"/>
          <w:sz w:val="28"/>
          <w:szCs w:val="28"/>
          <w:highlight w:val="none"/>
        </w:rPr>
        <w:t>2）国联水产集团微信公众号：guolianshuichan</w:t>
      </w:r>
    </w:p>
    <w:p w14:paraId="76F4E59C">
      <w:pPr>
        <w:ind w:firstLine="562" w:firstLineChars="200"/>
        <w:jc w:val="left"/>
        <w:rPr>
          <w:b/>
          <w:color w:val="000000"/>
          <w:sz w:val="28"/>
          <w:szCs w:val="28"/>
          <w:highlight w:val="none"/>
        </w:rPr>
      </w:pPr>
      <w:r>
        <w:rPr>
          <w:rFonts w:hint="eastAsia"/>
          <w:b/>
          <w:color w:val="000000"/>
          <w:sz w:val="28"/>
          <w:szCs w:val="28"/>
          <w:highlight w:val="none"/>
          <w:lang w:eastAsia="zh-CN"/>
        </w:rPr>
        <w:t>（</w:t>
      </w:r>
      <w:r>
        <w:rPr>
          <w:b/>
          <w:color w:val="000000"/>
          <w:sz w:val="28"/>
          <w:szCs w:val="28"/>
          <w:highlight w:val="none"/>
        </w:rPr>
        <w:t>3</w:t>
      </w:r>
      <w:r>
        <w:rPr>
          <w:rFonts w:hint="eastAsia"/>
          <w:b/>
          <w:color w:val="000000"/>
          <w:sz w:val="28"/>
          <w:szCs w:val="28"/>
          <w:highlight w:val="none"/>
          <w:lang w:eastAsia="zh-CN"/>
        </w:rPr>
        <w:t>）</w:t>
      </w:r>
      <w:r>
        <w:rPr>
          <w:b/>
          <w:color w:val="000000"/>
          <w:sz w:val="28"/>
          <w:szCs w:val="28"/>
          <w:highlight w:val="none"/>
        </w:rPr>
        <w:t xml:space="preserve">中国物流招标网：www.clb.org.cn </w:t>
      </w:r>
    </w:p>
    <w:p w14:paraId="08B95985">
      <w:pPr>
        <w:ind w:firstLine="562" w:firstLineChars="200"/>
        <w:jc w:val="left"/>
        <w:rPr>
          <w:rFonts w:hint="default" w:eastAsia="宋体"/>
          <w:b/>
          <w:color w:val="000000"/>
          <w:sz w:val="28"/>
          <w:szCs w:val="28"/>
          <w:highlight w:val="none"/>
          <w:lang w:val="en-US" w:eastAsia="zh-CN"/>
        </w:rPr>
      </w:pPr>
      <w:r>
        <w:rPr>
          <w:rFonts w:hint="eastAsia"/>
          <w:b/>
          <w:color w:val="000000"/>
          <w:sz w:val="28"/>
          <w:szCs w:val="28"/>
          <w:highlight w:val="none"/>
          <w:lang w:eastAsia="zh-CN"/>
        </w:rPr>
        <w:t>（</w:t>
      </w:r>
      <w:r>
        <w:rPr>
          <w:rFonts w:hint="eastAsia"/>
          <w:b/>
          <w:color w:val="000000"/>
          <w:sz w:val="28"/>
          <w:szCs w:val="28"/>
          <w:highlight w:val="none"/>
          <w:lang w:val="en-US" w:eastAsia="zh-CN"/>
        </w:rPr>
        <w:t>4</w:t>
      </w:r>
      <w:r>
        <w:rPr>
          <w:rFonts w:hint="eastAsia"/>
          <w:b/>
          <w:color w:val="000000"/>
          <w:sz w:val="28"/>
          <w:szCs w:val="28"/>
          <w:highlight w:val="none"/>
          <w:lang w:eastAsia="zh-CN"/>
        </w:rPr>
        <w:t>）</w:t>
      </w:r>
      <w:r>
        <w:rPr>
          <w:rFonts w:hint="eastAsia"/>
          <w:b/>
          <w:color w:val="000000"/>
          <w:sz w:val="28"/>
          <w:szCs w:val="28"/>
          <w:highlight w:val="none"/>
          <w:lang w:val="en-US" w:eastAsia="zh-CN"/>
        </w:rPr>
        <w:t>中物联冷链委微信公众号：lenglian_56</w:t>
      </w:r>
      <w:bookmarkStart w:id="0" w:name="_GoBack"/>
      <w:bookmarkEnd w:id="0"/>
    </w:p>
    <w:p w14:paraId="2B18DDA2">
      <w:pPr>
        <w:pStyle w:val="3"/>
      </w:pPr>
      <w:r>
        <w:t>5.2解释</w:t>
      </w:r>
    </w:p>
    <w:p w14:paraId="012C3E29">
      <w:pPr>
        <w:ind w:firstLine="560" w:firstLineChars="200"/>
        <w:jc w:val="left"/>
        <w:rPr>
          <w:sz w:val="28"/>
          <w:szCs w:val="28"/>
        </w:rPr>
      </w:pPr>
      <w:r>
        <w:rPr>
          <w:sz w:val="28"/>
          <w:szCs w:val="28"/>
        </w:rPr>
        <w:t>应申请人</w:t>
      </w:r>
      <w:r>
        <w:rPr>
          <w:rFonts w:hint="eastAsia"/>
          <w:sz w:val="28"/>
          <w:szCs w:val="28"/>
          <w:lang w:val="en-US" w:eastAsia="zh-CN"/>
        </w:rPr>
        <w:t>邮箱提出的</w:t>
      </w:r>
      <w:r>
        <w:rPr>
          <w:sz w:val="28"/>
          <w:szCs w:val="28"/>
        </w:rPr>
        <w:t>要求，招标人可对资格预审结果作出解释，但不保证申请人对解释内容满意。</w:t>
      </w:r>
    </w:p>
    <w:p w14:paraId="6850B4B2">
      <w:pPr>
        <w:pStyle w:val="3"/>
        <w:rPr>
          <w:rFonts w:hint="eastAsia" w:eastAsia="宋体"/>
          <w:lang w:eastAsia="zh-CN"/>
        </w:rPr>
      </w:pPr>
      <w:r>
        <w:t>5.</w:t>
      </w:r>
      <w:r>
        <w:rPr>
          <w:rFonts w:hint="eastAsia"/>
          <w:lang w:val="en-US" w:eastAsia="zh-CN"/>
        </w:rPr>
        <w:t>3确认</w:t>
      </w:r>
    </w:p>
    <w:p w14:paraId="4390D93B">
      <w:pPr>
        <w:ind w:firstLine="560" w:firstLineChars="200"/>
        <w:jc w:val="left"/>
        <w:rPr>
          <w:rFonts w:hint="default"/>
          <w:sz w:val="28"/>
          <w:szCs w:val="28"/>
          <w:lang w:val="en-US" w:eastAsia="zh-CN"/>
        </w:rPr>
      </w:pPr>
      <w:r>
        <w:rPr>
          <w:rFonts w:hint="eastAsia"/>
          <w:sz w:val="28"/>
          <w:szCs w:val="28"/>
        </w:rPr>
        <w:t>通过资格预审的申请人收到投标邀请函后，应在申请人规定的时间内（3个工作日）以</w:t>
      </w:r>
      <w:r>
        <w:rPr>
          <w:rFonts w:hint="eastAsia"/>
          <w:sz w:val="28"/>
          <w:szCs w:val="28"/>
          <w:lang w:val="en-US" w:eastAsia="zh-CN"/>
        </w:rPr>
        <w:t>电子邮箱回复的</w:t>
      </w:r>
      <w:r>
        <w:rPr>
          <w:rFonts w:hint="eastAsia"/>
          <w:sz w:val="28"/>
          <w:szCs w:val="28"/>
        </w:rPr>
        <w:t>形式明确表示是否参加投标。在申请人规定的时间内未表示是否参加投标或明确表示不参加投标的，不得再参加投标，因此造成潜在投标人数量不足3个的，招标人重新组织资格预审或不再组织预审直接招标</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投标注意事项及要求详见投标邀请函。</w:t>
      </w:r>
    </w:p>
    <w:p w14:paraId="5202EA8C">
      <w:pPr>
        <w:pStyle w:val="2"/>
      </w:pPr>
      <w:r>
        <w:t>六、申请人的资格改变</w:t>
      </w:r>
    </w:p>
    <w:p w14:paraId="6C4D2EFF">
      <w:pPr>
        <w:ind w:firstLine="560"/>
        <w:jc w:val="both"/>
        <w:rPr>
          <w:bCs/>
          <w:sz w:val="28"/>
          <w:szCs w:val="28"/>
        </w:rPr>
      </w:pPr>
      <w:r>
        <w:rPr>
          <w:rFonts w:hint="eastAsia"/>
          <w:bCs/>
          <w:sz w:val="28"/>
          <w:szCs w:val="28"/>
        </w:rPr>
        <w:t>通过资格预审的申请人组织机构、资本、财务能力、资质情况、自有车辆情况、信誉情况等资格条件发生变化，使其不再实质上满足第四章第</w:t>
      </w:r>
      <w:r>
        <w:rPr>
          <w:rFonts w:hint="eastAsia"/>
          <w:bCs/>
          <w:sz w:val="28"/>
          <w:szCs w:val="28"/>
          <w:lang w:val="en-US" w:eastAsia="zh-CN"/>
        </w:rPr>
        <w:t>4.</w:t>
      </w:r>
      <w:r>
        <w:rPr>
          <w:rFonts w:hint="eastAsia"/>
          <w:bCs/>
          <w:sz w:val="28"/>
          <w:szCs w:val="28"/>
        </w:rPr>
        <w:t>3款“资格审查办法”规定标准的，其投标将被拒绝</w:t>
      </w:r>
      <w:r>
        <w:rPr>
          <w:bCs/>
          <w:sz w:val="28"/>
          <w:szCs w:val="28"/>
        </w:rPr>
        <w:t>。</w:t>
      </w:r>
    </w:p>
    <w:p w14:paraId="15618F03">
      <w:pPr>
        <w:pStyle w:val="2"/>
      </w:pPr>
      <w:r>
        <w:t>七、纪律与监督</w:t>
      </w:r>
    </w:p>
    <w:p w14:paraId="56C3B35F">
      <w:pPr>
        <w:pStyle w:val="3"/>
      </w:pPr>
      <w:r>
        <w:t>7.1严禁贿赂</w:t>
      </w:r>
    </w:p>
    <w:p w14:paraId="03CDE70C">
      <w:pPr>
        <w:ind w:firstLine="560" w:firstLineChars="200"/>
        <w:jc w:val="left"/>
        <w:rPr>
          <w:bCs/>
          <w:sz w:val="28"/>
          <w:szCs w:val="28"/>
        </w:rPr>
      </w:pPr>
      <w:r>
        <w:rPr>
          <w:bCs/>
          <w:sz w:val="28"/>
          <w:szCs w:val="28"/>
        </w:rPr>
        <w:t>严禁申请人向招标人、审查委员会成员和与审查活动有关的其他工作人员及前述人员的亲属行贿（行贿包括但不限于通过给付现金、红包、礼金、礼品、购物卡、提供旅游或安排前述人员或其亲属的就业等任何形式给付不正当利益）。在资格预审期间，不得邀请招标人、审查委员会成员以及与审查活动有关的其他工作人员到申请人单位参观考察，或出席申请人主办、赞助的任何活动。</w:t>
      </w:r>
    </w:p>
    <w:p w14:paraId="7700323F">
      <w:pPr>
        <w:pStyle w:val="3"/>
      </w:pPr>
      <w:r>
        <w:t>7.2不得干扰资格审查工作</w:t>
      </w:r>
    </w:p>
    <w:p w14:paraId="50C30418">
      <w:pPr>
        <w:ind w:firstLine="560" w:firstLineChars="200"/>
        <w:jc w:val="left"/>
        <w:rPr>
          <w:bCs/>
          <w:sz w:val="28"/>
          <w:szCs w:val="28"/>
        </w:rPr>
      </w:pPr>
      <w:r>
        <w:rPr>
          <w:bCs/>
          <w:sz w:val="28"/>
          <w:szCs w:val="28"/>
        </w:rPr>
        <w:t>申请人不得以任何方式干扰、影响资格预审的审查工作，否则将导致其不能通过资格预审。</w:t>
      </w:r>
    </w:p>
    <w:p w14:paraId="76959D83">
      <w:pPr>
        <w:pStyle w:val="3"/>
      </w:pPr>
      <w:r>
        <w:t>7.3保密</w:t>
      </w:r>
    </w:p>
    <w:p w14:paraId="3F0172B0">
      <w:pPr>
        <w:ind w:firstLine="560" w:firstLineChars="200"/>
        <w:jc w:val="left"/>
        <w:rPr>
          <w:bCs/>
          <w:sz w:val="28"/>
          <w:szCs w:val="28"/>
        </w:rPr>
      </w:pPr>
      <w:r>
        <w:rPr>
          <w:bCs/>
          <w:sz w:val="28"/>
          <w:szCs w:val="28"/>
        </w:rPr>
        <w:t>招标人、审查委员会成员，以及与审查活动有关的其他工作人员应对资格预审申请文件的审查、比较进行保密，不得在资格预审结果公布前透露资格预审结果，不得向其他人透露可能影响公平竞争的有关情况。</w:t>
      </w:r>
    </w:p>
    <w:p w14:paraId="5FFE1615">
      <w:pPr>
        <w:ind w:firstLine="560" w:firstLineChars="200"/>
        <w:jc w:val="left"/>
        <w:rPr>
          <w:bCs/>
          <w:sz w:val="28"/>
          <w:szCs w:val="28"/>
        </w:rPr>
      </w:pPr>
    </w:p>
    <w:p w14:paraId="5198260D">
      <w:pPr>
        <w:ind w:firstLine="560" w:firstLineChars="200"/>
        <w:jc w:val="left"/>
        <w:rPr>
          <w:bCs/>
          <w:sz w:val="28"/>
          <w:szCs w:val="28"/>
        </w:rPr>
      </w:pPr>
    </w:p>
    <w:p w14:paraId="3A5A25C6">
      <w:pPr>
        <w:widowControl/>
        <w:adjustRightInd w:val="0"/>
        <w:snapToGrid w:val="0"/>
        <w:jc w:val="right"/>
        <w:rPr>
          <w:color w:val="000000"/>
          <w:kern w:val="0"/>
          <w:sz w:val="18"/>
          <w:szCs w:val="18"/>
        </w:rPr>
      </w:pPr>
      <w:r>
        <w:rPr>
          <w:color w:val="000000"/>
          <w:kern w:val="0"/>
          <w:sz w:val="18"/>
          <w:szCs w:val="18"/>
        </w:rPr>
        <w:t>本次招标活动最终解释权归：湛江国联水产开发股份有限公司。</w:t>
      </w:r>
    </w:p>
    <w:p w14:paraId="5F6043E5">
      <w:pPr>
        <w:widowControl/>
        <w:adjustRightInd w:val="0"/>
        <w:snapToGrid w:val="0"/>
        <w:jc w:val="right"/>
        <w:rPr>
          <w:color w:val="000000"/>
          <w:sz w:val="18"/>
          <w:szCs w:val="18"/>
        </w:rPr>
      </w:pPr>
      <w:r>
        <w:rPr>
          <w:color w:val="000000"/>
          <w:kern w:val="0"/>
          <w:sz w:val="18"/>
          <w:szCs w:val="18"/>
        </w:rPr>
        <w:t>国联水产设定专用邮箱接受投标方的投诉：tuwp@guolian.cn，电话：</w:t>
      </w:r>
      <w:r>
        <w:rPr>
          <w:color w:val="000000"/>
          <w:sz w:val="18"/>
          <w:szCs w:val="18"/>
          <w:shd w:val="clear" w:color="auto" w:fill="FFFFFF"/>
        </w:rPr>
        <w:t>13729073813</w:t>
      </w:r>
    </w:p>
    <w:p w14:paraId="5787CFA5">
      <w:pPr>
        <w:widowControl/>
        <w:adjustRightInd w:val="0"/>
        <w:snapToGrid w:val="0"/>
        <w:jc w:val="right"/>
        <w:rPr>
          <w:color w:val="000000"/>
          <w:kern w:val="0"/>
          <w:sz w:val="18"/>
          <w:szCs w:val="18"/>
        </w:rPr>
      </w:pPr>
      <w:r>
        <w:rPr>
          <w:color w:val="000000"/>
          <w:kern w:val="0"/>
          <w:sz w:val="18"/>
          <w:szCs w:val="18"/>
        </w:rPr>
        <w:t>国联水产审计部会对所有信息提供者及所提供的全部资料严格保密</w:t>
      </w:r>
    </w:p>
    <w:p w14:paraId="160EAF31">
      <w:pPr>
        <w:widowControl/>
        <w:adjustRightInd w:val="0"/>
        <w:snapToGrid w:val="0"/>
        <w:jc w:val="right"/>
        <w:rPr>
          <w:color w:val="000000"/>
          <w:kern w:val="0"/>
          <w:sz w:val="18"/>
          <w:szCs w:val="18"/>
        </w:rPr>
      </w:pPr>
    </w:p>
    <w:p w14:paraId="0C8666A6">
      <w:pPr>
        <w:widowControl/>
        <w:adjustRightInd w:val="0"/>
        <w:snapToGrid w:val="0"/>
        <w:spacing w:line="360" w:lineRule="auto"/>
        <w:ind w:firstLine="1792" w:firstLineChars="850"/>
        <w:jc w:val="right"/>
        <w:rPr>
          <w:b/>
          <w:color w:val="000000"/>
          <w:kern w:val="0"/>
          <w:szCs w:val="21"/>
        </w:rPr>
      </w:pPr>
      <w:r>
        <w:rPr>
          <w:b/>
          <w:color w:val="000000"/>
          <w:kern w:val="0"/>
          <w:szCs w:val="21"/>
        </w:rPr>
        <w:t>湛江国联水产开发股份有限公司</w:t>
      </w:r>
    </w:p>
    <w:p w14:paraId="3B458C08">
      <w:pPr>
        <w:widowControl/>
        <w:adjustRightInd w:val="0"/>
        <w:snapToGrid w:val="0"/>
        <w:spacing w:line="360" w:lineRule="auto"/>
        <w:ind w:firstLine="1792" w:firstLineChars="850"/>
        <w:jc w:val="right"/>
        <w:rPr>
          <w:color w:val="000000"/>
          <w:szCs w:val="21"/>
        </w:rPr>
      </w:pPr>
      <w:r>
        <w:rPr>
          <w:b/>
          <w:color w:val="000000"/>
          <w:kern w:val="0"/>
          <w:szCs w:val="21"/>
        </w:rPr>
        <w:t>日期：2</w:t>
      </w:r>
      <w:r>
        <w:rPr>
          <w:b/>
          <w:kern w:val="0"/>
          <w:szCs w:val="21"/>
        </w:rPr>
        <w:t>02</w:t>
      </w:r>
      <w:r>
        <w:rPr>
          <w:rFonts w:hint="eastAsia"/>
          <w:b/>
          <w:kern w:val="0"/>
          <w:szCs w:val="21"/>
          <w:lang w:val="en-US" w:eastAsia="zh-CN"/>
        </w:rPr>
        <w:t>5</w:t>
      </w:r>
      <w:r>
        <w:rPr>
          <w:b/>
          <w:kern w:val="0"/>
          <w:szCs w:val="21"/>
        </w:rPr>
        <w:t>年</w:t>
      </w:r>
      <w:r>
        <w:rPr>
          <w:rFonts w:hint="eastAsia"/>
          <w:b/>
          <w:kern w:val="0"/>
          <w:szCs w:val="21"/>
          <w:lang w:val="en-US" w:eastAsia="zh-CN"/>
        </w:rPr>
        <w:t>8</w:t>
      </w:r>
      <w:r>
        <w:rPr>
          <w:b/>
          <w:kern w:val="0"/>
          <w:szCs w:val="21"/>
        </w:rPr>
        <w:t>月</w:t>
      </w:r>
      <w:r>
        <w:rPr>
          <w:rFonts w:hint="eastAsia"/>
          <w:b/>
          <w:kern w:val="0"/>
          <w:szCs w:val="21"/>
          <w:lang w:val="en-US" w:eastAsia="zh-CN"/>
        </w:rPr>
        <w:t>26</w:t>
      </w:r>
      <w:r>
        <w:rPr>
          <w:b/>
          <w:kern w:val="0"/>
          <w:szCs w:val="21"/>
        </w:rPr>
        <w:t>日</w:t>
      </w:r>
    </w:p>
    <w:sectPr>
      <w:headerReference r:id="rId3" w:type="default"/>
      <w:footerReference r:id="rId4" w:type="default"/>
      <w:pgSz w:w="11906" w:h="16838"/>
      <w:pgMar w:top="1475" w:right="1304" w:bottom="1134" w:left="1304"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A5A1">
    <w:pPr>
      <w:snapToGrid w:val="0"/>
      <w:ind w:firstLine="3780" w:firstLineChars="210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12</w:t>
    </w:r>
    <w:r>
      <w:rPr>
        <w:sz w:val="18"/>
      </w:rPr>
      <w:fldChar w:fldCharType="end"/>
    </w:r>
    <w:r>
      <w:rPr>
        <w:rFonts w:hint="eastAsia"/>
        <w:sz w:val="18"/>
      </w:rPr>
      <w:t xml:space="preserve"> 页</w:t>
    </w:r>
  </w:p>
  <w:p w14:paraId="39ACEF4F">
    <w:pPr>
      <w:pStyle w:val="9"/>
      <w:tabs>
        <w:tab w:val="center" w:pos="4320"/>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93B6">
    <w:pPr>
      <w:pStyle w:val="3"/>
      <w:spacing w:after="240" w:afterLines="100" w:line="240" w:lineRule="auto"/>
      <w:jc w:val="center"/>
      <w:rPr>
        <w:rFonts w:hint="eastAsia"/>
        <w:b w:val="0"/>
        <w:color w:val="FF0000"/>
        <w:szCs w:val="21"/>
        <w:u w:val="single"/>
      </w:rPr>
    </w:pPr>
    <w:r>
      <w:rPr>
        <w:bCs/>
        <w:color w:val="FF0000"/>
        <w:sz w:val="48"/>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429895</wp:posOffset>
              </wp:positionV>
              <wp:extent cx="5920740" cy="635"/>
              <wp:effectExtent l="0" t="0" r="0" b="0"/>
              <wp:wrapNone/>
              <wp:docPr id="2" name="直线 3"/>
              <wp:cNvGraphicFramePr/>
              <a:graphic xmlns:a="http://schemas.openxmlformats.org/drawingml/2006/main">
                <a:graphicData uri="http://schemas.microsoft.com/office/word/2010/wordprocessingShape">
                  <wps:wsp>
                    <wps:cNvCnPr/>
                    <wps:spPr>
                      <a:xfrm>
                        <a:off x="0" y="0"/>
                        <a:ext cx="5920740" cy="635"/>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pt;margin-top:33.85pt;height:0.05pt;width:466.2pt;z-index:251660288;mso-width-relative:page;mso-height-relative:page;" filled="f" stroked="t" coordsize="21600,21600" o:gfxdata="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9ryvD&#10;1QAAAAcBAAAPAAAAAAAAAAEAIAAAACIAAABkcnMvZG93bnJldi54bWxQSwECFAAUAAAACACHTuJA&#10;Mbmce+sBAADdAwAADgAAAAAAAAABACAAAAAkAQAAZHJzL2Uyb0RvYy54bWxQSwUGAAAAAAYABgBZ&#10;AQAAgQUAAAAA&#10;">
              <v:fill on="f" focussize="0,0"/>
              <v:stroke color="#FF0000" joinstyle="round"/>
              <v:imagedata o:title=""/>
              <o:lock v:ext="edit" aspectratio="f"/>
            </v:line>
          </w:pict>
        </mc:Fallback>
      </mc:AlternateContent>
    </w:r>
    <w:r>
      <w:rPr>
        <w:bCs/>
        <w:color w:val="FF0000"/>
        <w:sz w:val="48"/>
      </w:rPr>
      <w:drawing>
        <wp:anchor distT="0" distB="0" distL="114300" distR="114300" simplePos="0" relativeHeight="251659264" behindDoc="0" locked="0" layoutInCell="1" allowOverlap="1">
          <wp:simplePos x="0" y="0"/>
          <wp:positionH relativeFrom="column">
            <wp:posOffset>99060</wp:posOffset>
          </wp:positionH>
          <wp:positionV relativeFrom="paragraph">
            <wp:posOffset>-209550</wp:posOffset>
          </wp:positionV>
          <wp:extent cx="752475" cy="608330"/>
          <wp:effectExtent l="9525" t="9525" r="12700" b="17145"/>
          <wp:wrapNone/>
          <wp:docPr id="1" name="图片 2" descr="国联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联新LOGO"/>
                  <pic:cNvPicPr>
                    <a:picLocks noChangeAspect="1"/>
                  </pic:cNvPicPr>
                </pic:nvPicPr>
                <pic:blipFill>
                  <a:blip r:embed="rId1"/>
                  <a:stretch>
                    <a:fillRect/>
                  </a:stretch>
                </pic:blipFill>
                <pic:spPr>
                  <a:xfrm>
                    <a:off x="0" y="0"/>
                    <a:ext cx="752475" cy="608330"/>
                  </a:xfrm>
                  <a:prstGeom prst="rect">
                    <a:avLst/>
                  </a:prstGeom>
                  <a:noFill/>
                  <a:ln w="9525" cap="flat" cmpd="sng">
                    <a:solidFill>
                      <a:srgbClr val="FFFFFF"/>
                    </a:solidFill>
                    <a:prstDash val="solid"/>
                    <a:miter/>
                    <a:headEnd type="none" w="med" len="med"/>
                    <a:tailEnd type="none" w="med" len="med"/>
                  </a:ln>
                </pic:spPr>
              </pic:pic>
            </a:graphicData>
          </a:graphic>
        </wp:anchor>
      </w:drawing>
    </w:r>
    <w:r>
      <w:rPr>
        <w:rFonts w:hint="eastAsia"/>
        <w:b w:val="0"/>
        <w:color w:val="FF0000"/>
        <w:sz w:val="48"/>
      </w:rPr>
      <w:t xml:space="preserve"> </w:t>
    </w:r>
    <w:r>
      <w:rPr>
        <w:b w:val="0"/>
        <w:color w:val="FF0000"/>
        <w:sz w:val="48"/>
      </w:rPr>
      <w:t xml:space="preserve"> </w:t>
    </w:r>
    <w:r>
      <w:rPr>
        <w:b/>
        <w:bCs/>
        <w:color w:val="FF0000"/>
        <w:sz w:val="48"/>
      </w:rPr>
      <w:t>湛江国联水产开发股份有限公司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0E58"/>
    <w:multiLevelType w:val="singleLevel"/>
    <w:tmpl w:val="87E00E58"/>
    <w:lvl w:ilvl="0" w:tentative="0">
      <w:start w:val="1"/>
      <w:numFmt w:val="decimalEnclosedCircleChinese"/>
      <w:suff w:val="nothing"/>
      <w:lvlText w:val="%1　"/>
      <w:lvlJc w:val="left"/>
      <w:pPr>
        <w:ind w:left="0" w:firstLine="400"/>
      </w:pPr>
      <w:rPr>
        <w:rFonts w:hint="eastAsia"/>
      </w:rPr>
    </w:lvl>
  </w:abstractNum>
  <w:abstractNum w:abstractNumId="1">
    <w:nsid w:val="2DE60351"/>
    <w:multiLevelType w:val="singleLevel"/>
    <w:tmpl w:val="2DE603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NjVmZWU5YjU2NWZlZTVkNjcxZWQyZjA3YTMxYWUifQ=="/>
  </w:docVars>
  <w:rsids>
    <w:rsidRoot w:val="00D0209E"/>
    <w:rsid w:val="00004C27"/>
    <w:rsid w:val="00015B83"/>
    <w:rsid w:val="00015D93"/>
    <w:rsid w:val="0001695D"/>
    <w:rsid w:val="00027592"/>
    <w:rsid w:val="00030B15"/>
    <w:rsid w:val="00031257"/>
    <w:rsid w:val="00031728"/>
    <w:rsid w:val="00036BEB"/>
    <w:rsid w:val="00046199"/>
    <w:rsid w:val="00047429"/>
    <w:rsid w:val="0005034C"/>
    <w:rsid w:val="00050BC5"/>
    <w:rsid w:val="00056CF6"/>
    <w:rsid w:val="00057A23"/>
    <w:rsid w:val="000668F9"/>
    <w:rsid w:val="0007052F"/>
    <w:rsid w:val="0007245E"/>
    <w:rsid w:val="000844EF"/>
    <w:rsid w:val="0008462E"/>
    <w:rsid w:val="000860A4"/>
    <w:rsid w:val="00086684"/>
    <w:rsid w:val="00087C44"/>
    <w:rsid w:val="0009474F"/>
    <w:rsid w:val="00097596"/>
    <w:rsid w:val="00097AC3"/>
    <w:rsid w:val="000A77FD"/>
    <w:rsid w:val="000B03A8"/>
    <w:rsid w:val="000B60BE"/>
    <w:rsid w:val="000C3D30"/>
    <w:rsid w:val="000C5C4D"/>
    <w:rsid w:val="000E2919"/>
    <w:rsid w:val="000E30F5"/>
    <w:rsid w:val="000E45E7"/>
    <w:rsid w:val="000E7CB4"/>
    <w:rsid w:val="000F4807"/>
    <w:rsid w:val="00103257"/>
    <w:rsid w:val="00104A8D"/>
    <w:rsid w:val="00106B69"/>
    <w:rsid w:val="00110F27"/>
    <w:rsid w:val="00115099"/>
    <w:rsid w:val="00116FD3"/>
    <w:rsid w:val="00120B35"/>
    <w:rsid w:val="0013030F"/>
    <w:rsid w:val="001335A8"/>
    <w:rsid w:val="00137097"/>
    <w:rsid w:val="00140805"/>
    <w:rsid w:val="00142C26"/>
    <w:rsid w:val="00144D3B"/>
    <w:rsid w:val="00145C35"/>
    <w:rsid w:val="00145E6B"/>
    <w:rsid w:val="001517ED"/>
    <w:rsid w:val="00152CE8"/>
    <w:rsid w:val="0015426A"/>
    <w:rsid w:val="001613FC"/>
    <w:rsid w:val="0016511B"/>
    <w:rsid w:val="00165E4D"/>
    <w:rsid w:val="001669A9"/>
    <w:rsid w:val="00166E88"/>
    <w:rsid w:val="001703A5"/>
    <w:rsid w:val="00170430"/>
    <w:rsid w:val="001767C6"/>
    <w:rsid w:val="001833CA"/>
    <w:rsid w:val="001A5A72"/>
    <w:rsid w:val="001C19A4"/>
    <w:rsid w:val="001C3A47"/>
    <w:rsid w:val="001C6E4C"/>
    <w:rsid w:val="001D588D"/>
    <w:rsid w:val="001E7737"/>
    <w:rsid w:val="001F0F2F"/>
    <w:rsid w:val="001F10AF"/>
    <w:rsid w:val="001F34D7"/>
    <w:rsid w:val="001F6185"/>
    <w:rsid w:val="001F6254"/>
    <w:rsid w:val="00200930"/>
    <w:rsid w:val="00206666"/>
    <w:rsid w:val="00207838"/>
    <w:rsid w:val="00211DB0"/>
    <w:rsid w:val="00217539"/>
    <w:rsid w:val="00222809"/>
    <w:rsid w:val="002247E1"/>
    <w:rsid w:val="002254F1"/>
    <w:rsid w:val="00231855"/>
    <w:rsid w:val="002321AD"/>
    <w:rsid w:val="00232FEE"/>
    <w:rsid w:val="0023749C"/>
    <w:rsid w:val="002407A8"/>
    <w:rsid w:val="0024147F"/>
    <w:rsid w:val="002455E2"/>
    <w:rsid w:val="00246278"/>
    <w:rsid w:val="002529BD"/>
    <w:rsid w:val="00253839"/>
    <w:rsid w:val="00267AA3"/>
    <w:rsid w:val="00275B8F"/>
    <w:rsid w:val="00276C95"/>
    <w:rsid w:val="00277930"/>
    <w:rsid w:val="00281898"/>
    <w:rsid w:val="00290BBD"/>
    <w:rsid w:val="00292284"/>
    <w:rsid w:val="00294390"/>
    <w:rsid w:val="00294A97"/>
    <w:rsid w:val="002A266C"/>
    <w:rsid w:val="002A44E7"/>
    <w:rsid w:val="002A5A76"/>
    <w:rsid w:val="002A6E43"/>
    <w:rsid w:val="002B2F21"/>
    <w:rsid w:val="002B4C61"/>
    <w:rsid w:val="002B6308"/>
    <w:rsid w:val="002C1EBE"/>
    <w:rsid w:val="002C2414"/>
    <w:rsid w:val="002C328F"/>
    <w:rsid w:val="002C4B03"/>
    <w:rsid w:val="002C5CC6"/>
    <w:rsid w:val="002D74BF"/>
    <w:rsid w:val="002E3706"/>
    <w:rsid w:val="002F0728"/>
    <w:rsid w:val="00301121"/>
    <w:rsid w:val="003049D3"/>
    <w:rsid w:val="00310288"/>
    <w:rsid w:val="003110B1"/>
    <w:rsid w:val="00314A4D"/>
    <w:rsid w:val="0032438D"/>
    <w:rsid w:val="00331015"/>
    <w:rsid w:val="0033295B"/>
    <w:rsid w:val="00334699"/>
    <w:rsid w:val="003356CB"/>
    <w:rsid w:val="0033659C"/>
    <w:rsid w:val="00337052"/>
    <w:rsid w:val="00345A1B"/>
    <w:rsid w:val="00346A02"/>
    <w:rsid w:val="00347A0F"/>
    <w:rsid w:val="00350297"/>
    <w:rsid w:val="0035361E"/>
    <w:rsid w:val="00362141"/>
    <w:rsid w:val="00362735"/>
    <w:rsid w:val="0037016E"/>
    <w:rsid w:val="00384B86"/>
    <w:rsid w:val="00385881"/>
    <w:rsid w:val="003867C9"/>
    <w:rsid w:val="0038713E"/>
    <w:rsid w:val="0039144F"/>
    <w:rsid w:val="003A688A"/>
    <w:rsid w:val="003C1DA4"/>
    <w:rsid w:val="003C263C"/>
    <w:rsid w:val="003C76EF"/>
    <w:rsid w:val="003D4951"/>
    <w:rsid w:val="003F096A"/>
    <w:rsid w:val="003F1F1E"/>
    <w:rsid w:val="00403995"/>
    <w:rsid w:val="004151F1"/>
    <w:rsid w:val="00424EE8"/>
    <w:rsid w:val="004253A6"/>
    <w:rsid w:val="004257B5"/>
    <w:rsid w:val="004268FD"/>
    <w:rsid w:val="0042766B"/>
    <w:rsid w:val="00434E77"/>
    <w:rsid w:val="0043785A"/>
    <w:rsid w:val="004410BC"/>
    <w:rsid w:val="004433AA"/>
    <w:rsid w:val="00445588"/>
    <w:rsid w:val="00451223"/>
    <w:rsid w:val="00454EC2"/>
    <w:rsid w:val="00454F03"/>
    <w:rsid w:val="0045518D"/>
    <w:rsid w:val="00456B84"/>
    <w:rsid w:val="00456BC1"/>
    <w:rsid w:val="0045702C"/>
    <w:rsid w:val="00457575"/>
    <w:rsid w:val="00457AAE"/>
    <w:rsid w:val="00461514"/>
    <w:rsid w:val="0046247B"/>
    <w:rsid w:val="004712D1"/>
    <w:rsid w:val="00474B71"/>
    <w:rsid w:val="00474F56"/>
    <w:rsid w:val="0047626F"/>
    <w:rsid w:val="00480604"/>
    <w:rsid w:val="00485127"/>
    <w:rsid w:val="0049192F"/>
    <w:rsid w:val="004A0D55"/>
    <w:rsid w:val="004A5A3F"/>
    <w:rsid w:val="004A69F3"/>
    <w:rsid w:val="004B257A"/>
    <w:rsid w:val="004C02AC"/>
    <w:rsid w:val="004C6E08"/>
    <w:rsid w:val="004D678D"/>
    <w:rsid w:val="004D679C"/>
    <w:rsid w:val="004E6014"/>
    <w:rsid w:val="004F1AAE"/>
    <w:rsid w:val="004F3D59"/>
    <w:rsid w:val="004F7BAD"/>
    <w:rsid w:val="004F7C84"/>
    <w:rsid w:val="00511EBB"/>
    <w:rsid w:val="00515013"/>
    <w:rsid w:val="00517957"/>
    <w:rsid w:val="00520866"/>
    <w:rsid w:val="005219D7"/>
    <w:rsid w:val="00526A77"/>
    <w:rsid w:val="005342E9"/>
    <w:rsid w:val="005479DB"/>
    <w:rsid w:val="00550903"/>
    <w:rsid w:val="00554B47"/>
    <w:rsid w:val="00557022"/>
    <w:rsid w:val="00560F9D"/>
    <w:rsid w:val="00561FC6"/>
    <w:rsid w:val="00563F0C"/>
    <w:rsid w:val="0056732B"/>
    <w:rsid w:val="005837AD"/>
    <w:rsid w:val="0058650B"/>
    <w:rsid w:val="0059271A"/>
    <w:rsid w:val="00593E71"/>
    <w:rsid w:val="005942B9"/>
    <w:rsid w:val="005A067F"/>
    <w:rsid w:val="005A07A0"/>
    <w:rsid w:val="005A3C65"/>
    <w:rsid w:val="005B4B77"/>
    <w:rsid w:val="005D07B1"/>
    <w:rsid w:val="005D2821"/>
    <w:rsid w:val="005D36F1"/>
    <w:rsid w:val="005D6379"/>
    <w:rsid w:val="005D7B9F"/>
    <w:rsid w:val="005E28FD"/>
    <w:rsid w:val="005E4852"/>
    <w:rsid w:val="005E5BED"/>
    <w:rsid w:val="005E6CB7"/>
    <w:rsid w:val="005F0156"/>
    <w:rsid w:val="005F09E4"/>
    <w:rsid w:val="005F2C05"/>
    <w:rsid w:val="005F54D3"/>
    <w:rsid w:val="005F5EF1"/>
    <w:rsid w:val="0061551E"/>
    <w:rsid w:val="00616A4D"/>
    <w:rsid w:val="0062000E"/>
    <w:rsid w:val="006214D4"/>
    <w:rsid w:val="0063121D"/>
    <w:rsid w:val="0063229C"/>
    <w:rsid w:val="0064272C"/>
    <w:rsid w:val="006532FE"/>
    <w:rsid w:val="006544D1"/>
    <w:rsid w:val="00657029"/>
    <w:rsid w:val="006625B6"/>
    <w:rsid w:val="006639EF"/>
    <w:rsid w:val="00666EB2"/>
    <w:rsid w:val="0067013B"/>
    <w:rsid w:val="00671A86"/>
    <w:rsid w:val="006769D7"/>
    <w:rsid w:val="00681B82"/>
    <w:rsid w:val="00685916"/>
    <w:rsid w:val="00690C0B"/>
    <w:rsid w:val="0069302B"/>
    <w:rsid w:val="006A2868"/>
    <w:rsid w:val="006A2FA8"/>
    <w:rsid w:val="006A3951"/>
    <w:rsid w:val="006A6E79"/>
    <w:rsid w:val="006A76DA"/>
    <w:rsid w:val="006B007D"/>
    <w:rsid w:val="006C0367"/>
    <w:rsid w:val="006C0A16"/>
    <w:rsid w:val="006C2B86"/>
    <w:rsid w:val="006D2BEE"/>
    <w:rsid w:val="006D30FB"/>
    <w:rsid w:val="006D3931"/>
    <w:rsid w:val="006F2B0C"/>
    <w:rsid w:val="006F2F74"/>
    <w:rsid w:val="006F3F86"/>
    <w:rsid w:val="006F64C6"/>
    <w:rsid w:val="0070122F"/>
    <w:rsid w:val="0070137B"/>
    <w:rsid w:val="00707395"/>
    <w:rsid w:val="00730D08"/>
    <w:rsid w:val="0073654E"/>
    <w:rsid w:val="007370BE"/>
    <w:rsid w:val="00745180"/>
    <w:rsid w:val="007669FF"/>
    <w:rsid w:val="0077033C"/>
    <w:rsid w:val="00772E5C"/>
    <w:rsid w:val="0077361E"/>
    <w:rsid w:val="00773973"/>
    <w:rsid w:val="00780AE9"/>
    <w:rsid w:val="00785EA9"/>
    <w:rsid w:val="007879C3"/>
    <w:rsid w:val="00790BFB"/>
    <w:rsid w:val="0079273D"/>
    <w:rsid w:val="00793B55"/>
    <w:rsid w:val="007B27E0"/>
    <w:rsid w:val="007B750F"/>
    <w:rsid w:val="007C13AA"/>
    <w:rsid w:val="007C30CA"/>
    <w:rsid w:val="007C52C2"/>
    <w:rsid w:val="007D20D2"/>
    <w:rsid w:val="007D5E49"/>
    <w:rsid w:val="007D73D6"/>
    <w:rsid w:val="007D7915"/>
    <w:rsid w:val="007E6492"/>
    <w:rsid w:val="007E7A9A"/>
    <w:rsid w:val="007F0D4A"/>
    <w:rsid w:val="007F2E72"/>
    <w:rsid w:val="007F6852"/>
    <w:rsid w:val="00801334"/>
    <w:rsid w:val="00801C88"/>
    <w:rsid w:val="00804F45"/>
    <w:rsid w:val="00806BB6"/>
    <w:rsid w:val="00814B73"/>
    <w:rsid w:val="00816CE7"/>
    <w:rsid w:val="008170A6"/>
    <w:rsid w:val="008240F7"/>
    <w:rsid w:val="00824FA6"/>
    <w:rsid w:val="00826023"/>
    <w:rsid w:val="00840863"/>
    <w:rsid w:val="008412F1"/>
    <w:rsid w:val="00844B26"/>
    <w:rsid w:val="008517A4"/>
    <w:rsid w:val="00854E11"/>
    <w:rsid w:val="00855BBE"/>
    <w:rsid w:val="00864239"/>
    <w:rsid w:val="008736AB"/>
    <w:rsid w:val="00873F39"/>
    <w:rsid w:val="008816FB"/>
    <w:rsid w:val="008831B1"/>
    <w:rsid w:val="00884DA8"/>
    <w:rsid w:val="008906C7"/>
    <w:rsid w:val="00894591"/>
    <w:rsid w:val="008945D8"/>
    <w:rsid w:val="008B091A"/>
    <w:rsid w:val="008B1700"/>
    <w:rsid w:val="008B5031"/>
    <w:rsid w:val="008B6641"/>
    <w:rsid w:val="008B6E82"/>
    <w:rsid w:val="008B7955"/>
    <w:rsid w:val="008C60A0"/>
    <w:rsid w:val="008D028D"/>
    <w:rsid w:val="008D02FA"/>
    <w:rsid w:val="008D2677"/>
    <w:rsid w:val="008D3A8A"/>
    <w:rsid w:val="008D6531"/>
    <w:rsid w:val="008E350D"/>
    <w:rsid w:val="008E3F0A"/>
    <w:rsid w:val="008E5119"/>
    <w:rsid w:val="008F55DC"/>
    <w:rsid w:val="00904BD8"/>
    <w:rsid w:val="00906CB9"/>
    <w:rsid w:val="0092094A"/>
    <w:rsid w:val="00921D2A"/>
    <w:rsid w:val="0092670F"/>
    <w:rsid w:val="00954F6E"/>
    <w:rsid w:val="00955358"/>
    <w:rsid w:val="00960DC5"/>
    <w:rsid w:val="00961152"/>
    <w:rsid w:val="00975391"/>
    <w:rsid w:val="00975F7E"/>
    <w:rsid w:val="00977C2B"/>
    <w:rsid w:val="00980035"/>
    <w:rsid w:val="00981774"/>
    <w:rsid w:val="009822B2"/>
    <w:rsid w:val="00985C15"/>
    <w:rsid w:val="00986A2F"/>
    <w:rsid w:val="00991C64"/>
    <w:rsid w:val="00992681"/>
    <w:rsid w:val="009970B4"/>
    <w:rsid w:val="009A1976"/>
    <w:rsid w:val="009A2103"/>
    <w:rsid w:val="009B4AE4"/>
    <w:rsid w:val="009C1931"/>
    <w:rsid w:val="009C4D3C"/>
    <w:rsid w:val="009C5EB3"/>
    <w:rsid w:val="009D3C4B"/>
    <w:rsid w:val="009E278C"/>
    <w:rsid w:val="009E283B"/>
    <w:rsid w:val="009E4E76"/>
    <w:rsid w:val="009E78A6"/>
    <w:rsid w:val="009F0949"/>
    <w:rsid w:val="009F392C"/>
    <w:rsid w:val="00A228D8"/>
    <w:rsid w:val="00A24484"/>
    <w:rsid w:val="00A24E38"/>
    <w:rsid w:val="00A32A64"/>
    <w:rsid w:val="00A32B95"/>
    <w:rsid w:val="00A330B5"/>
    <w:rsid w:val="00A36CB2"/>
    <w:rsid w:val="00A46435"/>
    <w:rsid w:val="00A55184"/>
    <w:rsid w:val="00A5557B"/>
    <w:rsid w:val="00A56856"/>
    <w:rsid w:val="00A621C1"/>
    <w:rsid w:val="00A701FA"/>
    <w:rsid w:val="00A71AD7"/>
    <w:rsid w:val="00A73F82"/>
    <w:rsid w:val="00A83C2C"/>
    <w:rsid w:val="00A83E8D"/>
    <w:rsid w:val="00A8495D"/>
    <w:rsid w:val="00A92CEC"/>
    <w:rsid w:val="00A936C8"/>
    <w:rsid w:val="00A9540C"/>
    <w:rsid w:val="00AA4A95"/>
    <w:rsid w:val="00AA56CF"/>
    <w:rsid w:val="00AB3194"/>
    <w:rsid w:val="00AB3333"/>
    <w:rsid w:val="00AB392A"/>
    <w:rsid w:val="00AB589E"/>
    <w:rsid w:val="00AC08BD"/>
    <w:rsid w:val="00AC16C5"/>
    <w:rsid w:val="00AD637E"/>
    <w:rsid w:val="00AE4C40"/>
    <w:rsid w:val="00AF03CF"/>
    <w:rsid w:val="00AF7D25"/>
    <w:rsid w:val="00B05947"/>
    <w:rsid w:val="00B121D6"/>
    <w:rsid w:val="00B13F2B"/>
    <w:rsid w:val="00B14B57"/>
    <w:rsid w:val="00B214CA"/>
    <w:rsid w:val="00B217F5"/>
    <w:rsid w:val="00B23654"/>
    <w:rsid w:val="00B23CE8"/>
    <w:rsid w:val="00B33DB8"/>
    <w:rsid w:val="00B3503D"/>
    <w:rsid w:val="00B36DE0"/>
    <w:rsid w:val="00B3791A"/>
    <w:rsid w:val="00B4490C"/>
    <w:rsid w:val="00B475D7"/>
    <w:rsid w:val="00B513C9"/>
    <w:rsid w:val="00B51763"/>
    <w:rsid w:val="00B544DB"/>
    <w:rsid w:val="00B63CEA"/>
    <w:rsid w:val="00B66A44"/>
    <w:rsid w:val="00B77450"/>
    <w:rsid w:val="00B87C56"/>
    <w:rsid w:val="00B904E2"/>
    <w:rsid w:val="00B9392F"/>
    <w:rsid w:val="00BA3AFB"/>
    <w:rsid w:val="00BA4F87"/>
    <w:rsid w:val="00BB0BBE"/>
    <w:rsid w:val="00BB6005"/>
    <w:rsid w:val="00BC16D0"/>
    <w:rsid w:val="00BC2788"/>
    <w:rsid w:val="00BC27D0"/>
    <w:rsid w:val="00BC4C04"/>
    <w:rsid w:val="00BD2B4A"/>
    <w:rsid w:val="00BD7798"/>
    <w:rsid w:val="00BE0179"/>
    <w:rsid w:val="00BE38E6"/>
    <w:rsid w:val="00BE3BA4"/>
    <w:rsid w:val="00BE6D22"/>
    <w:rsid w:val="00BF0A86"/>
    <w:rsid w:val="00BF37EB"/>
    <w:rsid w:val="00BF3B2E"/>
    <w:rsid w:val="00BF4F71"/>
    <w:rsid w:val="00C04E97"/>
    <w:rsid w:val="00C0629E"/>
    <w:rsid w:val="00C062DD"/>
    <w:rsid w:val="00C10507"/>
    <w:rsid w:val="00C10573"/>
    <w:rsid w:val="00C1192D"/>
    <w:rsid w:val="00C12174"/>
    <w:rsid w:val="00C4018F"/>
    <w:rsid w:val="00C412A1"/>
    <w:rsid w:val="00C41A55"/>
    <w:rsid w:val="00C464E4"/>
    <w:rsid w:val="00C47B32"/>
    <w:rsid w:val="00C549EE"/>
    <w:rsid w:val="00C54EF2"/>
    <w:rsid w:val="00C714DC"/>
    <w:rsid w:val="00C71732"/>
    <w:rsid w:val="00C72482"/>
    <w:rsid w:val="00C73FAC"/>
    <w:rsid w:val="00C81421"/>
    <w:rsid w:val="00C874D6"/>
    <w:rsid w:val="00C90556"/>
    <w:rsid w:val="00C91B28"/>
    <w:rsid w:val="00C950BD"/>
    <w:rsid w:val="00CA2B44"/>
    <w:rsid w:val="00CA355D"/>
    <w:rsid w:val="00CA426C"/>
    <w:rsid w:val="00CA7135"/>
    <w:rsid w:val="00CB3EF7"/>
    <w:rsid w:val="00CB4AE1"/>
    <w:rsid w:val="00CB58F0"/>
    <w:rsid w:val="00CB6851"/>
    <w:rsid w:val="00CB6E39"/>
    <w:rsid w:val="00CC1A82"/>
    <w:rsid w:val="00CC3F37"/>
    <w:rsid w:val="00CC48D0"/>
    <w:rsid w:val="00CC7841"/>
    <w:rsid w:val="00CD0E6C"/>
    <w:rsid w:val="00CD3B9F"/>
    <w:rsid w:val="00CE400F"/>
    <w:rsid w:val="00CE4D0C"/>
    <w:rsid w:val="00CE5484"/>
    <w:rsid w:val="00CF0F54"/>
    <w:rsid w:val="00CF244F"/>
    <w:rsid w:val="00CF3CA4"/>
    <w:rsid w:val="00CF4096"/>
    <w:rsid w:val="00D0209E"/>
    <w:rsid w:val="00D028F7"/>
    <w:rsid w:val="00D02D70"/>
    <w:rsid w:val="00D04EE2"/>
    <w:rsid w:val="00D203A6"/>
    <w:rsid w:val="00D32CED"/>
    <w:rsid w:val="00D467A0"/>
    <w:rsid w:val="00D513DB"/>
    <w:rsid w:val="00D534CF"/>
    <w:rsid w:val="00D55B75"/>
    <w:rsid w:val="00D61ACA"/>
    <w:rsid w:val="00D6545A"/>
    <w:rsid w:val="00D65B12"/>
    <w:rsid w:val="00D6712F"/>
    <w:rsid w:val="00D74698"/>
    <w:rsid w:val="00D74BD1"/>
    <w:rsid w:val="00D85E09"/>
    <w:rsid w:val="00D87B2F"/>
    <w:rsid w:val="00D9142B"/>
    <w:rsid w:val="00D933B1"/>
    <w:rsid w:val="00D93F60"/>
    <w:rsid w:val="00D9520B"/>
    <w:rsid w:val="00D95B8D"/>
    <w:rsid w:val="00D97C69"/>
    <w:rsid w:val="00DA57DB"/>
    <w:rsid w:val="00DA66B1"/>
    <w:rsid w:val="00DB6D00"/>
    <w:rsid w:val="00DC62D4"/>
    <w:rsid w:val="00DD1D15"/>
    <w:rsid w:val="00DD267F"/>
    <w:rsid w:val="00DD4B24"/>
    <w:rsid w:val="00DD6D8D"/>
    <w:rsid w:val="00DE27FC"/>
    <w:rsid w:val="00DE3580"/>
    <w:rsid w:val="00DF5B27"/>
    <w:rsid w:val="00DF5CEC"/>
    <w:rsid w:val="00E06DF1"/>
    <w:rsid w:val="00E27C0B"/>
    <w:rsid w:val="00E27E33"/>
    <w:rsid w:val="00E46D5F"/>
    <w:rsid w:val="00E5021E"/>
    <w:rsid w:val="00E607A1"/>
    <w:rsid w:val="00E64863"/>
    <w:rsid w:val="00E661F3"/>
    <w:rsid w:val="00E7081A"/>
    <w:rsid w:val="00E72300"/>
    <w:rsid w:val="00E80EB8"/>
    <w:rsid w:val="00E81D0C"/>
    <w:rsid w:val="00E87FEF"/>
    <w:rsid w:val="00E93526"/>
    <w:rsid w:val="00E94E8F"/>
    <w:rsid w:val="00EA09EC"/>
    <w:rsid w:val="00EA1605"/>
    <w:rsid w:val="00EA5040"/>
    <w:rsid w:val="00EA6851"/>
    <w:rsid w:val="00EB03DB"/>
    <w:rsid w:val="00EB264F"/>
    <w:rsid w:val="00EC1817"/>
    <w:rsid w:val="00EC2130"/>
    <w:rsid w:val="00EC32E8"/>
    <w:rsid w:val="00ED372B"/>
    <w:rsid w:val="00EE18A4"/>
    <w:rsid w:val="00EE3DF9"/>
    <w:rsid w:val="00EF191C"/>
    <w:rsid w:val="00EF2C0A"/>
    <w:rsid w:val="00EF33DF"/>
    <w:rsid w:val="00EF6F75"/>
    <w:rsid w:val="00F00966"/>
    <w:rsid w:val="00F024DD"/>
    <w:rsid w:val="00F0541A"/>
    <w:rsid w:val="00F06F48"/>
    <w:rsid w:val="00F11DE0"/>
    <w:rsid w:val="00F12E81"/>
    <w:rsid w:val="00F14709"/>
    <w:rsid w:val="00F165ED"/>
    <w:rsid w:val="00F2489F"/>
    <w:rsid w:val="00F27458"/>
    <w:rsid w:val="00F31267"/>
    <w:rsid w:val="00F3236E"/>
    <w:rsid w:val="00F347A2"/>
    <w:rsid w:val="00F34B1B"/>
    <w:rsid w:val="00F37B0A"/>
    <w:rsid w:val="00F4016B"/>
    <w:rsid w:val="00F447C4"/>
    <w:rsid w:val="00F53419"/>
    <w:rsid w:val="00F54C4E"/>
    <w:rsid w:val="00F628AE"/>
    <w:rsid w:val="00F630B2"/>
    <w:rsid w:val="00F635C7"/>
    <w:rsid w:val="00F65720"/>
    <w:rsid w:val="00F6666E"/>
    <w:rsid w:val="00F76492"/>
    <w:rsid w:val="00F7751C"/>
    <w:rsid w:val="00F81C22"/>
    <w:rsid w:val="00F8280C"/>
    <w:rsid w:val="00F82A44"/>
    <w:rsid w:val="00F95D7D"/>
    <w:rsid w:val="00F97C13"/>
    <w:rsid w:val="00FA01AB"/>
    <w:rsid w:val="00FA2A3D"/>
    <w:rsid w:val="00FA3130"/>
    <w:rsid w:val="00FA616C"/>
    <w:rsid w:val="00FA6B22"/>
    <w:rsid w:val="00FA728A"/>
    <w:rsid w:val="00FB1428"/>
    <w:rsid w:val="00FB1C83"/>
    <w:rsid w:val="00FC10F3"/>
    <w:rsid w:val="00FC2904"/>
    <w:rsid w:val="00FC76C7"/>
    <w:rsid w:val="00FD3AA8"/>
    <w:rsid w:val="00FD7C20"/>
    <w:rsid w:val="00FE5174"/>
    <w:rsid w:val="00FE5CB7"/>
    <w:rsid w:val="00FE5E51"/>
    <w:rsid w:val="00FE62C7"/>
    <w:rsid w:val="00FE7492"/>
    <w:rsid w:val="00FF162D"/>
    <w:rsid w:val="00FF5B2B"/>
    <w:rsid w:val="01331634"/>
    <w:rsid w:val="01401081"/>
    <w:rsid w:val="01405D2D"/>
    <w:rsid w:val="016302BE"/>
    <w:rsid w:val="01A80457"/>
    <w:rsid w:val="02280771"/>
    <w:rsid w:val="0281010F"/>
    <w:rsid w:val="02ED3C78"/>
    <w:rsid w:val="02F47997"/>
    <w:rsid w:val="034D5EF2"/>
    <w:rsid w:val="034F4F79"/>
    <w:rsid w:val="03EA675A"/>
    <w:rsid w:val="042D6A76"/>
    <w:rsid w:val="04BB3044"/>
    <w:rsid w:val="04D974B5"/>
    <w:rsid w:val="05165A4F"/>
    <w:rsid w:val="05351E6A"/>
    <w:rsid w:val="062F259D"/>
    <w:rsid w:val="06477D96"/>
    <w:rsid w:val="06B6615D"/>
    <w:rsid w:val="06D96F02"/>
    <w:rsid w:val="07207EBE"/>
    <w:rsid w:val="07645BCB"/>
    <w:rsid w:val="0790350F"/>
    <w:rsid w:val="079E6A84"/>
    <w:rsid w:val="07BA364C"/>
    <w:rsid w:val="07BB4875"/>
    <w:rsid w:val="07F93F23"/>
    <w:rsid w:val="07F94467"/>
    <w:rsid w:val="08CB7056"/>
    <w:rsid w:val="096F226A"/>
    <w:rsid w:val="0A4A209B"/>
    <w:rsid w:val="0A694DFA"/>
    <w:rsid w:val="0AA57AE1"/>
    <w:rsid w:val="0B3558F8"/>
    <w:rsid w:val="0B37527F"/>
    <w:rsid w:val="0B4B3060"/>
    <w:rsid w:val="0B776EC0"/>
    <w:rsid w:val="0BA94109"/>
    <w:rsid w:val="0BC4206D"/>
    <w:rsid w:val="0BFD3380"/>
    <w:rsid w:val="0C270F6E"/>
    <w:rsid w:val="0C856E0A"/>
    <w:rsid w:val="0CB35560"/>
    <w:rsid w:val="0CC56695"/>
    <w:rsid w:val="0D1D7071"/>
    <w:rsid w:val="0EE303C9"/>
    <w:rsid w:val="0F072001"/>
    <w:rsid w:val="0F3F55CE"/>
    <w:rsid w:val="111E0F24"/>
    <w:rsid w:val="11EE50E5"/>
    <w:rsid w:val="11FD2BDC"/>
    <w:rsid w:val="12B63246"/>
    <w:rsid w:val="12DA664C"/>
    <w:rsid w:val="12DD4B73"/>
    <w:rsid w:val="13506F4D"/>
    <w:rsid w:val="140356E7"/>
    <w:rsid w:val="1457487D"/>
    <w:rsid w:val="14C243C3"/>
    <w:rsid w:val="14F74BCE"/>
    <w:rsid w:val="1503683F"/>
    <w:rsid w:val="154E6181"/>
    <w:rsid w:val="15A24B3A"/>
    <w:rsid w:val="15BF477E"/>
    <w:rsid w:val="15D60A62"/>
    <w:rsid w:val="16A84C92"/>
    <w:rsid w:val="18514C55"/>
    <w:rsid w:val="18AA5D84"/>
    <w:rsid w:val="1912647A"/>
    <w:rsid w:val="19AB1965"/>
    <w:rsid w:val="1A453628"/>
    <w:rsid w:val="1A52614B"/>
    <w:rsid w:val="1A58610F"/>
    <w:rsid w:val="1A623186"/>
    <w:rsid w:val="1A8612C7"/>
    <w:rsid w:val="1B6F5F67"/>
    <w:rsid w:val="1BF32991"/>
    <w:rsid w:val="1C6C0570"/>
    <w:rsid w:val="1C6D4DA5"/>
    <w:rsid w:val="1C7F7983"/>
    <w:rsid w:val="1CA11441"/>
    <w:rsid w:val="1CAE2016"/>
    <w:rsid w:val="1CC54B23"/>
    <w:rsid w:val="1CCA6D23"/>
    <w:rsid w:val="1D2A56E8"/>
    <w:rsid w:val="1ECE7B45"/>
    <w:rsid w:val="1FED10DF"/>
    <w:rsid w:val="204011F6"/>
    <w:rsid w:val="204B0788"/>
    <w:rsid w:val="205B24B5"/>
    <w:rsid w:val="206A78B3"/>
    <w:rsid w:val="20D809D5"/>
    <w:rsid w:val="2106734F"/>
    <w:rsid w:val="21281C05"/>
    <w:rsid w:val="2149514E"/>
    <w:rsid w:val="21B96506"/>
    <w:rsid w:val="21DC6B24"/>
    <w:rsid w:val="220F07B0"/>
    <w:rsid w:val="22732EC5"/>
    <w:rsid w:val="2337709F"/>
    <w:rsid w:val="23766B12"/>
    <w:rsid w:val="239B76B7"/>
    <w:rsid w:val="23B01ABC"/>
    <w:rsid w:val="23EB3F26"/>
    <w:rsid w:val="242C049E"/>
    <w:rsid w:val="25341A1E"/>
    <w:rsid w:val="255E1F1F"/>
    <w:rsid w:val="2577337C"/>
    <w:rsid w:val="260F419D"/>
    <w:rsid w:val="26234D0C"/>
    <w:rsid w:val="26D103F0"/>
    <w:rsid w:val="26D94133"/>
    <w:rsid w:val="270B6D7A"/>
    <w:rsid w:val="282219CA"/>
    <w:rsid w:val="28C332ED"/>
    <w:rsid w:val="28E93403"/>
    <w:rsid w:val="28F63BF9"/>
    <w:rsid w:val="2909691F"/>
    <w:rsid w:val="29B570DA"/>
    <w:rsid w:val="2A623850"/>
    <w:rsid w:val="2AA64C74"/>
    <w:rsid w:val="2AF273DA"/>
    <w:rsid w:val="2B231AF6"/>
    <w:rsid w:val="2B2C4EC7"/>
    <w:rsid w:val="2B2F3EE3"/>
    <w:rsid w:val="2B59791B"/>
    <w:rsid w:val="2B967CE2"/>
    <w:rsid w:val="2BBA018A"/>
    <w:rsid w:val="2BE730B4"/>
    <w:rsid w:val="2C497A19"/>
    <w:rsid w:val="2CA331D2"/>
    <w:rsid w:val="2CBA2EC0"/>
    <w:rsid w:val="2DCF5C9A"/>
    <w:rsid w:val="2E292154"/>
    <w:rsid w:val="2E3B3A2F"/>
    <w:rsid w:val="2E662868"/>
    <w:rsid w:val="2EBC2D34"/>
    <w:rsid w:val="2EF15F32"/>
    <w:rsid w:val="2F0B261C"/>
    <w:rsid w:val="2FDA78F1"/>
    <w:rsid w:val="303A5C40"/>
    <w:rsid w:val="30B978AD"/>
    <w:rsid w:val="31504C79"/>
    <w:rsid w:val="317C6DB8"/>
    <w:rsid w:val="31A21259"/>
    <w:rsid w:val="31B44BDC"/>
    <w:rsid w:val="31BE4543"/>
    <w:rsid w:val="31CA0FFF"/>
    <w:rsid w:val="322B1E52"/>
    <w:rsid w:val="32A80373"/>
    <w:rsid w:val="32BE367C"/>
    <w:rsid w:val="33CA7525"/>
    <w:rsid w:val="34483F2C"/>
    <w:rsid w:val="349F0B4A"/>
    <w:rsid w:val="35007769"/>
    <w:rsid w:val="352B641F"/>
    <w:rsid w:val="35992AC6"/>
    <w:rsid w:val="35B2271F"/>
    <w:rsid w:val="361A0519"/>
    <w:rsid w:val="361F0231"/>
    <w:rsid w:val="367611FD"/>
    <w:rsid w:val="36A26791"/>
    <w:rsid w:val="36B0411D"/>
    <w:rsid w:val="36FA3DA8"/>
    <w:rsid w:val="37496611"/>
    <w:rsid w:val="377B284A"/>
    <w:rsid w:val="37BF6983"/>
    <w:rsid w:val="380C6C41"/>
    <w:rsid w:val="38251AB1"/>
    <w:rsid w:val="383166DB"/>
    <w:rsid w:val="38D5396C"/>
    <w:rsid w:val="39170A05"/>
    <w:rsid w:val="396703BD"/>
    <w:rsid w:val="399A050C"/>
    <w:rsid w:val="39BA5431"/>
    <w:rsid w:val="39DD4AEF"/>
    <w:rsid w:val="3A3C30D6"/>
    <w:rsid w:val="3B4D31AE"/>
    <w:rsid w:val="3B862B10"/>
    <w:rsid w:val="3BA04E47"/>
    <w:rsid w:val="3BB72284"/>
    <w:rsid w:val="3BDF3B42"/>
    <w:rsid w:val="3D9839A0"/>
    <w:rsid w:val="3DC54F75"/>
    <w:rsid w:val="3EF2487B"/>
    <w:rsid w:val="3F4B7501"/>
    <w:rsid w:val="3F8007F8"/>
    <w:rsid w:val="40010E0D"/>
    <w:rsid w:val="400B37B8"/>
    <w:rsid w:val="40FD1546"/>
    <w:rsid w:val="418331C2"/>
    <w:rsid w:val="41AF2425"/>
    <w:rsid w:val="420E1270"/>
    <w:rsid w:val="43D2242C"/>
    <w:rsid w:val="43D763E6"/>
    <w:rsid w:val="44052E50"/>
    <w:rsid w:val="440654DA"/>
    <w:rsid w:val="445512A1"/>
    <w:rsid w:val="45985749"/>
    <w:rsid w:val="45DF06D0"/>
    <w:rsid w:val="45F91698"/>
    <w:rsid w:val="4609255D"/>
    <w:rsid w:val="46565FB2"/>
    <w:rsid w:val="470B6133"/>
    <w:rsid w:val="47210116"/>
    <w:rsid w:val="47293550"/>
    <w:rsid w:val="47597076"/>
    <w:rsid w:val="475A4587"/>
    <w:rsid w:val="483B436D"/>
    <w:rsid w:val="484C1058"/>
    <w:rsid w:val="48721087"/>
    <w:rsid w:val="4883492F"/>
    <w:rsid w:val="4893558D"/>
    <w:rsid w:val="48CB725E"/>
    <w:rsid w:val="49476FB4"/>
    <w:rsid w:val="494A006D"/>
    <w:rsid w:val="49CE0EB8"/>
    <w:rsid w:val="4A3A63C4"/>
    <w:rsid w:val="4AF153ED"/>
    <w:rsid w:val="4B120C54"/>
    <w:rsid w:val="4B1A5AE6"/>
    <w:rsid w:val="4BA559C1"/>
    <w:rsid w:val="4BCB0AD4"/>
    <w:rsid w:val="4C017DC6"/>
    <w:rsid w:val="4C982FFC"/>
    <w:rsid w:val="4CD22D65"/>
    <w:rsid w:val="4CEA5FA5"/>
    <w:rsid w:val="4D0224AE"/>
    <w:rsid w:val="4E9C68E3"/>
    <w:rsid w:val="4EC82AAA"/>
    <w:rsid w:val="4ED36920"/>
    <w:rsid w:val="4F7F0D2F"/>
    <w:rsid w:val="501F1075"/>
    <w:rsid w:val="51786467"/>
    <w:rsid w:val="517C29F0"/>
    <w:rsid w:val="519D2F0D"/>
    <w:rsid w:val="519D5BF2"/>
    <w:rsid w:val="51FD5589"/>
    <w:rsid w:val="526B3F2A"/>
    <w:rsid w:val="53027F61"/>
    <w:rsid w:val="531327C7"/>
    <w:rsid w:val="53641D3C"/>
    <w:rsid w:val="53983728"/>
    <w:rsid w:val="554929A8"/>
    <w:rsid w:val="55A87025"/>
    <w:rsid w:val="55E80984"/>
    <w:rsid w:val="56E12A0D"/>
    <w:rsid w:val="57013229"/>
    <w:rsid w:val="5715160E"/>
    <w:rsid w:val="57AC6B77"/>
    <w:rsid w:val="57C5764A"/>
    <w:rsid w:val="57F61F81"/>
    <w:rsid w:val="58432D77"/>
    <w:rsid w:val="58BA567A"/>
    <w:rsid w:val="59017396"/>
    <w:rsid w:val="59CB3160"/>
    <w:rsid w:val="5A9260F7"/>
    <w:rsid w:val="5ACE44F8"/>
    <w:rsid w:val="5B751975"/>
    <w:rsid w:val="5BB04C2C"/>
    <w:rsid w:val="5C4F6C6D"/>
    <w:rsid w:val="5C765D3F"/>
    <w:rsid w:val="5CA82772"/>
    <w:rsid w:val="5CDD5208"/>
    <w:rsid w:val="5CFB4DD7"/>
    <w:rsid w:val="5D597CC6"/>
    <w:rsid w:val="5D673A8F"/>
    <w:rsid w:val="5D8660BC"/>
    <w:rsid w:val="5DEF69D7"/>
    <w:rsid w:val="5E6F3162"/>
    <w:rsid w:val="5EB270A3"/>
    <w:rsid w:val="5EB85A59"/>
    <w:rsid w:val="5F267A16"/>
    <w:rsid w:val="5F3A2300"/>
    <w:rsid w:val="5F6378CD"/>
    <w:rsid w:val="5FFE63DD"/>
    <w:rsid w:val="5FFF288E"/>
    <w:rsid w:val="60502191"/>
    <w:rsid w:val="608B1CF8"/>
    <w:rsid w:val="612D1E86"/>
    <w:rsid w:val="61733272"/>
    <w:rsid w:val="61771636"/>
    <w:rsid w:val="6180405A"/>
    <w:rsid w:val="61D0382B"/>
    <w:rsid w:val="621E4FE3"/>
    <w:rsid w:val="62816E52"/>
    <w:rsid w:val="62E867A4"/>
    <w:rsid w:val="62EA227F"/>
    <w:rsid w:val="639D04CB"/>
    <w:rsid w:val="6408100C"/>
    <w:rsid w:val="64510BAD"/>
    <w:rsid w:val="64881F40"/>
    <w:rsid w:val="64D76C15"/>
    <w:rsid w:val="64EB1C7C"/>
    <w:rsid w:val="64F81AF8"/>
    <w:rsid w:val="650D6415"/>
    <w:rsid w:val="65494B5A"/>
    <w:rsid w:val="658D4DF8"/>
    <w:rsid w:val="66424CB6"/>
    <w:rsid w:val="66786653"/>
    <w:rsid w:val="66CE1842"/>
    <w:rsid w:val="670A73E3"/>
    <w:rsid w:val="6771401E"/>
    <w:rsid w:val="677F2B22"/>
    <w:rsid w:val="67D22236"/>
    <w:rsid w:val="67D23F23"/>
    <w:rsid w:val="67D62606"/>
    <w:rsid w:val="6894676D"/>
    <w:rsid w:val="692E54FD"/>
    <w:rsid w:val="695F5E61"/>
    <w:rsid w:val="69B03F7F"/>
    <w:rsid w:val="69B56305"/>
    <w:rsid w:val="6A114F5F"/>
    <w:rsid w:val="6A3160BE"/>
    <w:rsid w:val="6A857B68"/>
    <w:rsid w:val="6A88003D"/>
    <w:rsid w:val="6AAD6A36"/>
    <w:rsid w:val="6AB213A9"/>
    <w:rsid w:val="6B251A93"/>
    <w:rsid w:val="6B5A5912"/>
    <w:rsid w:val="6B6F4633"/>
    <w:rsid w:val="6BD85D34"/>
    <w:rsid w:val="6C2D7AAE"/>
    <w:rsid w:val="6C511FF3"/>
    <w:rsid w:val="6CB36397"/>
    <w:rsid w:val="6D2D5E9E"/>
    <w:rsid w:val="6D576359"/>
    <w:rsid w:val="6D8013F9"/>
    <w:rsid w:val="6DCE4D62"/>
    <w:rsid w:val="6EA6297F"/>
    <w:rsid w:val="6F5058FF"/>
    <w:rsid w:val="6F665D6D"/>
    <w:rsid w:val="6FA06786"/>
    <w:rsid w:val="6FA14DE4"/>
    <w:rsid w:val="6FD36FD1"/>
    <w:rsid w:val="6FDE6CE5"/>
    <w:rsid w:val="702F47E6"/>
    <w:rsid w:val="704D3185"/>
    <w:rsid w:val="7094027E"/>
    <w:rsid w:val="713A1857"/>
    <w:rsid w:val="71737DDF"/>
    <w:rsid w:val="71925AA7"/>
    <w:rsid w:val="71BA10A6"/>
    <w:rsid w:val="71DC3831"/>
    <w:rsid w:val="7233774A"/>
    <w:rsid w:val="73C9758C"/>
    <w:rsid w:val="74F52640"/>
    <w:rsid w:val="759E26D6"/>
    <w:rsid w:val="760E5F3E"/>
    <w:rsid w:val="765E7820"/>
    <w:rsid w:val="766A427A"/>
    <w:rsid w:val="76756D42"/>
    <w:rsid w:val="768531BA"/>
    <w:rsid w:val="77060EF4"/>
    <w:rsid w:val="773C1EF3"/>
    <w:rsid w:val="77961F04"/>
    <w:rsid w:val="77B57CE6"/>
    <w:rsid w:val="782A1D89"/>
    <w:rsid w:val="785350DA"/>
    <w:rsid w:val="78943E36"/>
    <w:rsid w:val="78CA30F6"/>
    <w:rsid w:val="7906746B"/>
    <w:rsid w:val="791F7871"/>
    <w:rsid w:val="796C68BA"/>
    <w:rsid w:val="79CC7BA5"/>
    <w:rsid w:val="79DB44CC"/>
    <w:rsid w:val="7A035B18"/>
    <w:rsid w:val="7A1A196B"/>
    <w:rsid w:val="7A685FAD"/>
    <w:rsid w:val="7A811413"/>
    <w:rsid w:val="7A920D17"/>
    <w:rsid w:val="7AD221C1"/>
    <w:rsid w:val="7B1478D4"/>
    <w:rsid w:val="7B4C5794"/>
    <w:rsid w:val="7B78592E"/>
    <w:rsid w:val="7BAD5525"/>
    <w:rsid w:val="7BFA78D2"/>
    <w:rsid w:val="7C7718E2"/>
    <w:rsid w:val="7C7D6E30"/>
    <w:rsid w:val="7C8F5D60"/>
    <w:rsid w:val="7CF535CC"/>
    <w:rsid w:val="7D04374C"/>
    <w:rsid w:val="7D2142A5"/>
    <w:rsid w:val="7D377BC1"/>
    <w:rsid w:val="7DB61617"/>
    <w:rsid w:val="7DF31B75"/>
    <w:rsid w:val="7E06112A"/>
    <w:rsid w:val="7E9A4450"/>
    <w:rsid w:val="7F211084"/>
    <w:rsid w:val="7F426F7E"/>
    <w:rsid w:val="7FCA05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line="360" w:lineRule="auto"/>
      <w:outlineLvl w:val="0"/>
    </w:pPr>
    <w:rPr>
      <w:b/>
      <w:bCs/>
      <w:kern w:val="44"/>
      <w:sz w:val="30"/>
      <w:szCs w:val="44"/>
    </w:rPr>
  </w:style>
  <w:style w:type="paragraph" w:styleId="3">
    <w:name w:val="heading 2"/>
    <w:basedOn w:val="1"/>
    <w:next w:val="1"/>
    <w:link w:val="24"/>
    <w:qFormat/>
    <w:uiPriority w:val="0"/>
    <w:pPr>
      <w:keepNext/>
      <w:keepLines/>
      <w:spacing w:line="360" w:lineRule="auto"/>
      <w:outlineLvl w:val="1"/>
    </w:pPr>
    <w:rPr>
      <w:b/>
      <w:sz w:val="28"/>
    </w:rPr>
  </w:style>
  <w:style w:type="paragraph" w:styleId="4">
    <w:name w:val="heading 3"/>
    <w:basedOn w:val="1"/>
    <w:next w:val="1"/>
    <w:link w:val="25"/>
    <w:unhideWhenUsed/>
    <w:qFormat/>
    <w:uiPriority w:val="0"/>
    <w:pPr>
      <w:keepNext/>
      <w:keepLines/>
      <w:spacing w:before="260" w:after="260" w:line="416" w:lineRule="auto"/>
      <w:outlineLvl w:val="2"/>
    </w:pPr>
    <w:rPr>
      <w:rFonts w:ascii="Calibri" w:hAnsi="Calibri"/>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annotation text"/>
    <w:basedOn w:val="1"/>
    <w:link w:val="26"/>
    <w:qFormat/>
    <w:uiPriority w:val="0"/>
    <w:pPr>
      <w:jc w:val="left"/>
    </w:pPr>
  </w:style>
  <w:style w:type="paragraph" w:styleId="7">
    <w:name w:val="endnote text"/>
    <w:basedOn w:val="1"/>
    <w:link w:val="27"/>
    <w:qFormat/>
    <w:uiPriority w:val="0"/>
    <w:pPr>
      <w:snapToGrid w:val="0"/>
      <w:jc w:val="left"/>
    </w:pPr>
  </w:style>
  <w:style w:type="paragraph" w:styleId="8">
    <w:name w:val="Balloon Text"/>
    <w:basedOn w:val="1"/>
    <w:link w:val="28"/>
    <w:semiHidden/>
    <w:qFormat/>
    <w:uiPriority w:val="0"/>
    <w:rPr>
      <w:sz w:val="18"/>
      <w:szCs w:val="18"/>
    </w:r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0"/>
    <w:pPr>
      <w:spacing w:before="240" w:after="60" w:line="312" w:lineRule="auto"/>
      <w:jc w:val="center"/>
      <w:outlineLvl w:val="1"/>
    </w:pPr>
    <w:rPr>
      <w:rFonts w:ascii="Cambria" w:hAnsi="Cambria" w:cs="Times New Roman"/>
      <w:b/>
      <w:bCs/>
      <w:kern w:val="28"/>
      <w:sz w:val="32"/>
      <w:szCs w:val="32"/>
    </w:rPr>
  </w:style>
  <w:style w:type="paragraph" w:styleId="12">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3">
    <w:name w:val="Normal (Web)"/>
    <w:basedOn w:val="1"/>
    <w:qFormat/>
    <w:uiPriority w:val="0"/>
    <w:pPr>
      <w:widowControl/>
      <w:spacing w:before="150"/>
      <w:jc w:val="left"/>
    </w:pPr>
    <w:rPr>
      <w:rFonts w:ascii="宋体" w:hAnsi="宋体" w:cs="宋体"/>
      <w:kern w:val="0"/>
      <w:sz w:val="24"/>
    </w:rPr>
  </w:style>
  <w:style w:type="paragraph" w:styleId="14">
    <w:name w:val="annotation subject"/>
    <w:basedOn w:val="6"/>
    <w:next w:val="6"/>
    <w:link w:val="33"/>
    <w:qFormat/>
    <w:uiPriority w:val="0"/>
    <w:rPr>
      <w:rFonts w:ascii="Calibri" w:hAnsi="Calibri"/>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ndnote reference"/>
    <w:qFormat/>
    <w:uiPriority w:val="0"/>
    <w:rPr>
      <w:vertAlign w:val="superscript"/>
    </w:rPr>
  </w:style>
  <w:style w:type="character" w:styleId="19">
    <w:name w:val="FollowedHyperlink"/>
    <w:unhideWhenUsed/>
    <w:qFormat/>
    <w:uiPriority w:val="99"/>
    <w:rPr>
      <w:color w:val="954F72"/>
      <w:u w:val="single"/>
    </w:rPr>
  </w:style>
  <w:style w:type="character" w:styleId="20">
    <w:name w:val="Emphasis"/>
    <w:qFormat/>
    <w:uiPriority w:val="0"/>
    <w:rPr>
      <w:i/>
      <w:iCs/>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标题 1 字符"/>
    <w:link w:val="2"/>
    <w:qFormat/>
    <w:uiPriority w:val="0"/>
    <w:rPr>
      <w:b/>
      <w:bCs/>
      <w:kern w:val="44"/>
      <w:sz w:val="30"/>
      <w:szCs w:val="44"/>
    </w:rPr>
  </w:style>
  <w:style w:type="character" w:customStyle="1" w:styleId="24">
    <w:name w:val="标题 2 字符"/>
    <w:link w:val="3"/>
    <w:qFormat/>
    <w:uiPriority w:val="0"/>
    <w:rPr>
      <w:b/>
      <w:kern w:val="2"/>
      <w:sz w:val="28"/>
      <w:szCs w:val="24"/>
    </w:rPr>
  </w:style>
  <w:style w:type="character" w:customStyle="1" w:styleId="25">
    <w:name w:val="标题 3 字符"/>
    <w:link w:val="4"/>
    <w:semiHidden/>
    <w:qFormat/>
    <w:uiPriority w:val="0"/>
    <w:rPr>
      <w:rFonts w:ascii="Calibri" w:hAnsi="Calibri"/>
      <w:b/>
      <w:bCs/>
      <w:kern w:val="2"/>
      <w:sz w:val="32"/>
      <w:szCs w:val="32"/>
    </w:rPr>
  </w:style>
  <w:style w:type="character" w:customStyle="1" w:styleId="26">
    <w:name w:val="批注文字 字符1"/>
    <w:link w:val="6"/>
    <w:qFormat/>
    <w:uiPriority w:val="0"/>
    <w:rPr>
      <w:kern w:val="2"/>
      <w:sz w:val="21"/>
      <w:szCs w:val="24"/>
    </w:rPr>
  </w:style>
  <w:style w:type="character" w:customStyle="1" w:styleId="27">
    <w:name w:val="尾注文本 字符"/>
    <w:link w:val="7"/>
    <w:qFormat/>
    <w:uiPriority w:val="0"/>
    <w:rPr>
      <w:kern w:val="2"/>
      <w:sz w:val="21"/>
      <w:szCs w:val="24"/>
    </w:rPr>
  </w:style>
  <w:style w:type="character" w:customStyle="1" w:styleId="28">
    <w:name w:val="批注框文本 字符"/>
    <w:link w:val="8"/>
    <w:semiHidden/>
    <w:qFormat/>
    <w:uiPriority w:val="0"/>
    <w:rPr>
      <w:kern w:val="2"/>
      <w:sz w:val="18"/>
      <w:szCs w:val="18"/>
    </w:rPr>
  </w:style>
  <w:style w:type="character" w:customStyle="1" w:styleId="29">
    <w:name w:val="页脚 字符"/>
    <w:link w:val="9"/>
    <w:qFormat/>
    <w:uiPriority w:val="99"/>
    <w:rPr>
      <w:kern w:val="2"/>
      <w:sz w:val="18"/>
      <w:szCs w:val="18"/>
    </w:rPr>
  </w:style>
  <w:style w:type="character" w:customStyle="1" w:styleId="30">
    <w:name w:val="页眉 字符"/>
    <w:link w:val="10"/>
    <w:qFormat/>
    <w:uiPriority w:val="0"/>
    <w:rPr>
      <w:kern w:val="2"/>
      <w:sz w:val="18"/>
      <w:szCs w:val="18"/>
    </w:rPr>
  </w:style>
  <w:style w:type="character" w:customStyle="1" w:styleId="31">
    <w:name w:val="副标题 字符"/>
    <w:link w:val="11"/>
    <w:qFormat/>
    <w:uiPriority w:val="0"/>
    <w:rPr>
      <w:rFonts w:ascii="Cambria" w:hAnsi="Cambria" w:cs="Times New Roman"/>
      <w:b/>
      <w:bCs/>
      <w:kern w:val="28"/>
      <w:sz w:val="32"/>
      <w:szCs w:val="32"/>
    </w:rPr>
  </w:style>
  <w:style w:type="character" w:customStyle="1" w:styleId="32">
    <w:name w:val="HTML 预设格式 字符"/>
    <w:link w:val="12"/>
    <w:qFormat/>
    <w:uiPriority w:val="0"/>
    <w:rPr>
      <w:rFonts w:ascii="Arial" w:hAnsi="Arial" w:cs="Arial"/>
      <w:sz w:val="24"/>
      <w:szCs w:val="24"/>
    </w:rPr>
  </w:style>
  <w:style w:type="character" w:customStyle="1" w:styleId="33">
    <w:name w:val="批注主题 字符"/>
    <w:link w:val="14"/>
    <w:qFormat/>
    <w:uiPriority w:val="0"/>
    <w:rPr>
      <w:rFonts w:ascii="Calibri" w:hAnsi="Calibri"/>
      <w:b/>
      <w:bCs/>
      <w:kern w:val="2"/>
      <w:sz w:val="21"/>
      <w:szCs w:val="24"/>
    </w:rPr>
  </w:style>
  <w:style w:type="character" w:customStyle="1" w:styleId="34">
    <w:name w:val="font31"/>
    <w:qFormat/>
    <w:uiPriority w:val="0"/>
    <w:rPr>
      <w:rFonts w:hint="eastAsia" w:ascii="宋体" w:hAnsi="宋体" w:eastAsia="宋体" w:cs="宋体"/>
      <w:b/>
      <w:color w:val="000000"/>
      <w:sz w:val="20"/>
      <w:szCs w:val="20"/>
      <w:u w:val="none"/>
    </w:rPr>
  </w:style>
  <w:style w:type="character" w:customStyle="1" w:styleId="35">
    <w:name w:val="font51"/>
    <w:qFormat/>
    <w:uiPriority w:val="0"/>
    <w:rPr>
      <w:rFonts w:hint="eastAsia" w:ascii="宋体" w:hAnsi="宋体" w:eastAsia="宋体" w:cs="宋体"/>
      <w:color w:val="000000"/>
      <w:sz w:val="24"/>
      <w:szCs w:val="24"/>
      <w:u w:val="none"/>
    </w:rPr>
  </w:style>
  <w:style w:type="character" w:customStyle="1" w:styleId="36">
    <w:name w:val="font11"/>
    <w:qFormat/>
    <w:uiPriority w:val="0"/>
    <w:rPr>
      <w:rFonts w:hint="eastAsia" w:ascii="宋体" w:hAnsi="宋体" w:eastAsia="宋体" w:cs="宋体"/>
      <w:color w:val="000000"/>
      <w:sz w:val="20"/>
      <w:szCs w:val="20"/>
      <w:u w:val="none"/>
    </w:rPr>
  </w:style>
  <w:style w:type="character" w:customStyle="1" w:styleId="37">
    <w:name w:val="_Style 36"/>
    <w:unhideWhenUsed/>
    <w:qFormat/>
    <w:uiPriority w:val="99"/>
    <w:rPr>
      <w:color w:val="605E5C"/>
      <w:shd w:val="clear" w:color="auto" w:fill="E1DFDD"/>
    </w:rPr>
  </w:style>
  <w:style w:type="character" w:customStyle="1" w:styleId="38">
    <w:name w:val="font41"/>
    <w:qFormat/>
    <w:uiPriority w:val="0"/>
    <w:rPr>
      <w:rFonts w:hint="default" w:ascii="Arial" w:hAnsi="Arial" w:cs="Arial"/>
      <w:color w:val="000000"/>
      <w:sz w:val="20"/>
      <w:szCs w:val="20"/>
      <w:u w:val="none"/>
    </w:rPr>
  </w:style>
  <w:style w:type="character" w:customStyle="1" w:styleId="39">
    <w:name w:val="font21"/>
    <w:qFormat/>
    <w:uiPriority w:val="0"/>
    <w:rPr>
      <w:rFonts w:hint="default" w:ascii="Arial" w:hAnsi="Arial" w:cs="Arial"/>
      <w:color w:val="000000"/>
      <w:sz w:val="20"/>
      <w:szCs w:val="20"/>
      <w:u w:val="none"/>
    </w:rPr>
  </w:style>
  <w:style w:type="character" w:customStyle="1" w:styleId="40">
    <w:name w:val="font01"/>
    <w:qFormat/>
    <w:uiPriority w:val="0"/>
    <w:rPr>
      <w:rFonts w:hint="default" w:ascii="Arial" w:hAnsi="Arial" w:cs="Arial"/>
      <w:b/>
      <w:color w:val="000000"/>
      <w:sz w:val="20"/>
      <w:szCs w:val="20"/>
      <w:u w:val="none"/>
    </w:rPr>
  </w:style>
  <w:style w:type="paragraph" w:styleId="41">
    <w:name w:val="List Paragraph"/>
    <w:basedOn w:val="1"/>
    <w:qFormat/>
    <w:uiPriority w:val="34"/>
    <w:pPr>
      <w:ind w:firstLine="420" w:firstLineChars="200"/>
    </w:pPr>
    <w:rPr>
      <w:szCs w:val="20"/>
    </w:rPr>
  </w:style>
  <w:style w:type="character" w:customStyle="1" w:styleId="42">
    <w:name w:val="批注文字 字符"/>
    <w:qFormat/>
    <w:uiPriority w:val="0"/>
    <w:rPr>
      <w:kern w:val="2"/>
      <w:sz w:val="21"/>
      <w:szCs w:val="24"/>
    </w:rPr>
  </w:style>
  <w:style w:type="paragraph" w:customStyle="1" w:styleId="43">
    <w:name w:val="_Style 46"/>
    <w:basedOn w:val="1"/>
    <w:next w:val="41"/>
    <w:qFormat/>
    <w:uiPriority w:val="34"/>
    <w:pPr>
      <w:ind w:firstLine="420" w:firstLineChars="200"/>
    </w:pPr>
    <w:rPr>
      <w:szCs w:val="20"/>
    </w:rPr>
  </w:style>
  <w:style w:type="paragraph" w:customStyle="1" w:styleId="44">
    <w:name w:val="_Style 43"/>
    <w:unhideWhenUsed/>
    <w:qFormat/>
    <w:uiPriority w:val="99"/>
    <w:rPr>
      <w:rFonts w:ascii="Calibri" w:hAnsi="Calibri" w:eastAsia="宋体" w:cs="Times New Roman"/>
      <w:kern w:val="2"/>
      <w:sz w:val="21"/>
      <w:szCs w:val="24"/>
      <w:lang w:val="en-US" w:eastAsia="zh-CN" w:bidi="ar-SA"/>
    </w:rPr>
  </w:style>
  <w:style w:type="paragraph" w:customStyle="1" w:styleId="45">
    <w:name w:val="样式3"/>
    <w:basedOn w:val="4"/>
    <w:link w:val="46"/>
    <w:qFormat/>
    <w:uiPriority w:val="0"/>
    <w:pPr>
      <w:spacing w:before="0" w:after="0" w:line="360" w:lineRule="auto"/>
      <w:jc w:val="left"/>
    </w:pPr>
    <w:rPr>
      <w:rFonts w:ascii="Times New Roman" w:hAnsi="Times New Roman"/>
      <w:color w:val="000000"/>
      <w:sz w:val="28"/>
      <w:szCs w:val="28"/>
    </w:rPr>
  </w:style>
  <w:style w:type="character" w:customStyle="1" w:styleId="46">
    <w:name w:val="样式3 字符"/>
    <w:link w:val="45"/>
    <w:qFormat/>
    <w:uiPriority w:val="0"/>
    <w:rPr>
      <w:b/>
      <w:bCs/>
      <w:color w:val="000000"/>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2668</Words>
  <Characters>2961</Characters>
  <Lines>63</Lines>
  <Paragraphs>17</Paragraphs>
  <TotalTime>181</TotalTime>
  <ScaleCrop>false</ScaleCrop>
  <LinksUpToDate>false</LinksUpToDate>
  <CharactersWithSpaces>2964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2024-04-23T07:06:00Z</dcterms:created>
  <dc:creator>微软用户</dc:creator>
  <cp:lastModifiedBy>Mirages</cp:lastModifiedBy>
  <cp:lastPrinted>2022-05-21T23:08:00Z</cp:lastPrinted>
  <dcterms:modified xsi:type="dcterms:W3CDTF">2025-08-26T11:47:19Z</dcterms:modified>
  <dc:title>根据 《国务院办公厅关于2013年部分节假日安排的通知》， 现将2013年清明节放假有关事宜通知如下：4月4日至6日放假调休， 共3天</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C29BB9DE155C4F18BEB7A23FDB95898A_13</vt:lpwstr>
  </property>
  <property fmtid="{D5CDD505-2E9C-101B-9397-08002B2CF9AE}" pid="4" name="commondata">
    <vt:lpwstr>eyJoZGlkIjoiMDNlNGMxYWVmMDNlMWQ2MTZjNzI2MGJjOTE4YTlhNWQifQ==</vt:lpwstr>
  </property>
  <property fmtid="{D5CDD505-2E9C-101B-9397-08002B2CF9AE}" pid="5" name="KSOTemplateDocerSaveRecord">
    <vt:lpwstr>eyJoZGlkIjoiNzZjMmIzZTM2MTFhYTRhNTU3ZjEyNWRjODRlNmQ5NDQiLCJ1c2VySWQiOiIzMDc0OTY1NDkifQ==</vt:lpwstr>
  </property>
</Properties>
</file>